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397" w:rsidRDefault="002B0397">
      <w:pPr>
        <w:spacing w:before="98"/>
        <w:ind w:right="369"/>
        <w:jc w:val="right"/>
        <w:rPr>
          <w:rFonts w:ascii="Arial" w:hAnsi="Arial"/>
          <w:sz w:val="27"/>
        </w:rPr>
      </w:pPr>
    </w:p>
    <w:p w:rsidR="002B0397" w:rsidRPr="005A4B67" w:rsidRDefault="00C0798E">
      <w:pPr>
        <w:pStyle w:val="1"/>
        <w:spacing w:before="141"/>
        <w:ind w:left="2098" w:right="2081"/>
        <w:jc w:val="center"/>
        <w:rPr>
          <w:sz w:val="28"/>
          <w:szCs w:val="28"/>
        </w:rPr>
      </w:pPr>
      <w:r>
        <w:rPr>
          <w:color w:val="606464"/>
          <w:sz w:val="28"/>
        </w:rPr>
        <w:t>DOXAL</w:t>
      </w:r>
    </w:p>
    <w:p w:rsidR="002B0397" w:rsidRPr="0099036C" w:rsidRDefault="00C0798E">
      <w:pPr>
        <w:spacing w:before="4"/>
        <w:ind w:left="2098" w:right="2094"/>
        <w:jc w:val="center"/>
        <w:rPr>
          <w:b/>
        </w:rPr>
      </w:pPr>
      <w:r>
        <w:rPr>
          <w:b/>
          <w:color w:val="606464"/>
        </w:rPr>
        <w:t>(water-soluble powder for oral administration</w:t>
      </w:r>
      <w:r>
        <w:t>)</w:t>
      </w:r>
    </w:p>
    <w:p w:rsidR="002B0397" w:rsidRPr="0099036C" w:rsidRDefault="005A4B67">
      <w:pPr>
        <w:pStyle w:val="a3"/>
        <w:spacing w:before="4"/>
        <w:ind w:left="2098" w:right="2055"/>
        <w:jc w:val="center"/>
        <w:rPr>
          <w:sz w:val="22"/>
          <w:szCs w:val="22"/>
        </w:rPr>
      </w:pPr>
      <w:r>
        <w:rPr>
          <w:color w:val="606464"/>
          <w:w w:val="105"/>
          <w:sz w:val="22"/>
        </w:rPr>
        <w:t>package insert</w:t>
      </w:r>
    </w:p>
    <w:p w:rsidR="002B0397" w:rsidRDefault="00C0798E">
      <w:pPr>
        <w:pStyle w:val="1"/>
        <w:spacing w:before="90"/>
        <w:ind w:left="842"/>
      </w:pPr>
      <w:r>
        <w:rPr>
          <w:color w:val="494D4F"/>
        </w:rPr>
        <w:t>Description</w:t>
      </w:r>
    </w:p>
    <w:p w:rsidR="002B0397" w:rsidRPr="005A4B67" w:rsidRDefault="00C0798E">
      <w:pPr>
        <w:pStyle w:val="a3"/>
        <w:spacing w:before="10"/>
        <w:ind w:left="840"/>
        <w:rPr>
          <w:sz w:val="22"/>
          <w:szCs w:val="22"/>
        </w:rPr>
      </w:pPr>
      <w:r>
        <w:t>Powder from light yellow to dark yellow color.</w:t>
      </w:r>
    </w:p>
    <w:p w:rsidR="002B0397" w:rsidRDefault="00C0798E">
      <w:pPr>
        <w:pStyle w:val="1"/>
        <w:ind w:left="835"/>
      </w:pPr>
      <w:r>
        <w:rPr>
          <w:color w:val="494D4F"/>
          <w:w w:val="105"/>
        </w:rPr>
        <w:t>Ingredients:</w:t>
      </w:r>
    </w:p>
    <w:p w:rsidR="008B10E8" w:rsidRDefault="00C0798E">
      <w:pPr>
        <w:pStyle w:val="a3"/>
        <w:spacing w:before="4" w:line="266" w:lineRule="auto"/>
        <w:ind w:left="830" w:right="4501" w:firstLine="14"/>
        <w:rPr>
          <w:color w:val="606464"/>
          <w:sz w:val="22"/>
        </w:rPr>
      </w:pPr>
      <w:r>
        <w:t xml:space="preserve">1 g of the </w:t>
      </w:r>
      <w:r w:rsidR="00105848">
        <w:t>medicinal product</w:t>
      </w:r>
      <w:r>
        <w:t xml:space="preserve"> contains active ingredient:</w:t>
      </w:r>
      <w:r>
        <w:rPr>
          <w:color w:val="606464"/>
          <w:sz w:val="22"/>
        </w:rPr>
        <w:t xml:space="preserve"> </w:t>
      </w:r>
    </w:p>
    <w:p w:rsidR="002B0397" w:rsidRPr="005A4B67" w:rsidRDefault="00105848">
      <w:pPr>
        <w:pStyle w:val="a3"/>
        <w:spacing w:before="4" w:line="266" w:lineRule="auto"/>
        <w:ind w:left="830" w:right="4501" w:firstLine="14"/>
        <w:rPr>
          <w:sz w:val="22"/>
          <w:szCs w:val="22"/>
        </w:rPr>
      </w:pPr>
      <w:proofErr w:type="gramStart"/>
      <w:r>
        <w:t xml:space="preserve">500 mg </w:t>
      </w:r>
      <w:proofErr w:type="spellStart"/>
      <w:r w:rsidR="00C0798E">
        <w:t>Doxycycline</w:t>
      </w:r>
      <w:proofErr w:type="spellEnd"/>
      <w:r w:rsidR="00C0798E">
        <w:t xml:space="preserve"> </w:t>
      </w:r>
      <w:proofErr w:type="spellStart"/>
      <w:r w:rsidR="00C0798E">
        <w:t>hyclate</w:t>
      </w:r>
      <w:proofErr w:type="spellEnd"/>
      <w:r w:rsidR="00C0798E">
        <w:t>.</w:t>
      </w:r>
      <w:proofErr w:type="gramEnd"/>
    </w:p>
    <w:p w:rsidR="002B0397" w:rsidRDefault="00C0798E">
      <w:pPr>
        <w:pStyle w:val="a3"/>
        <w:ind w:left="824"/>
      </w:pPr>
      <w:r>
        <w:t>Excipients:</w:t>
      </w:r>
      <w:r>
        <w:rPr>
          <w:color w:val="494D4F"/>
        </w:rPr>
        <w:t xml:space="preserve"> </w:t>
      </w:r>
      <w:r>
        <w:rPr>
          <w:color w:val="606464"/>
        </w:rPr>
        <w:t>Dextrose monohydrate, citric acid.</w:t>
      </w:r>
    </w:p>
    <w:p w:rsidR="002B0397" w:rsidRDefault="00C0798E">
      <w:pPr>
        <w:pStyle w:val="1"/>
        <w:spacing w:before="28"/>
        <w:ind w:left="830"/>
      </w:pPr>
      <w:r>
        <w:rPr>
          <w:color w:val="494D4F"/>
        </w:rPr>
        <w:t>Pharmacological properties</w:t>
      </w:r>
    </w:p>
    <w:p w:rsidR="002B0397" w:rsidRPr="005A4B67" w:rsidRDefault="00C0798E">
      <w:pPr>
        <w:pStyle w:val="a3"/>
        <w:spacing w:before="19"/>
        <w:ind w:left="132" w:right="145" w:firstLine="561"/>
        <w:jc w:val="both"/>
        <w:rPr>
          <w:sz w:val="22"/>
          <w:szCs w:val="22"/>
        </w:rPr>
      </w:pPr>
      <w:r>
        <w:t>ATC vet code is QJO1 – antimicrobial veterinary products for systemic use.</w:t>
      </w:r>
    </w:p>
    <w:p w:rsidR="002B0397" w:rsidRPr="005A4B67" w:rsidRDefault="00C0798E">
      <w:pPr>
        <w:spacing w:before="8" w:line="249" w:lineRule="auto"/>
        <w:ind w:left="127" w:right="130" w:firstLine="553"/>
        <w:jc w:val="both"/>
        <w:rPr>
          <w:i/>
        </w:rPr>
      </w:pPr>
      <w:r>
        <w:t>Doxycycline is a bacteriostatic antibiotic with a broad spectrum of action against aerobic gram-positive bacteria:</w:t>
      </w:r>
      <w:r>
        <w:rPr>
          <w:color w:val="606464"/>
          <w:w w:val="105"/>
        </w:rPr>
        <w:t xml:space="preserve"> </w:t>
      </w:r>
      <w:r>
        <w:rPr>
          <w:i/>
          <w:color w:val="606464"/>
          <w:w w:val="105"/>
        </w:rPr>
        <w:t xml:space="preserve">Staphylococcus </w:t>
      </w:r>
      <w:r>
        <w:rPr>
          <w:i/>
          <w:color w:val="727577"/>
          <w:w w:val="105"/>
        </w:rPr>
        <w:t>spp</w:t>
      </w:r>
      <w:r>
        <w:rPr>
          <w:i/>
          <w:color w:val="494D4F"/>
          <w:w w:val="105"/>
        </w:rPr>
        <w:t xml:space="preserve">. </w:t>
      </w:r>
      <w:r>
        <w:rPr>
          <w:color w:val="606464"/>
          <w:w w:val="105"/>
        </w:rPr>
        <w:t xml:space="preserve">(including strains that produce penicillinase), </w:t>
      </w:r>
      <w:r>
        <w:rPr>
          <w:i/>
          <w:color w:val="606464"/>
          <w:w w:val="105"/>
        </w:rPr>
        <w:t xml:space="preserve">Streptococcus spp. (pneumoniae), Listeria monocytogenes; </w:t>
      </w:r>
      <w:r>
        <w:rPr>
          <w:color w:val="606464"/>
          <w:w w:val="105"/>
        </w:rPr>
        <w:t xml:space="preserve">anaerobic bacteria: </w:t>
      </w:r>
      <w:r>
        <w:rPr>
          <w:i/>
          <w:color w:val="727577"/>
          <w:w w:val="105"/>
        </w:rPr>
        <w:t xml:space="preserve">Closn·idium </w:t>
      </w:r>
      <w:r>
        <w:rPr>
          <w:i/>
          <w:color w:val="606464"/>
          <w:w w:val="105"/>
        </w:rPr>
        <w:t xml:space="preserve">spp. </w:t>
      </w:r>
      <w:r>
        <w:t>Active to aerobic gram-negative bacteria:</w:t>
      </w:r>
      <w:r>
        <w:rPr>
          <w:color w:val="494D4F"/>
          <w:spacing w:val="-6"/>
          <w:w w:val="105"/>
        </w:rPr>
        <w:t xml:space="preserve"> </w:t>
      </w:r>
      <w:r>
        <w:rPr>
          <w:i/>
          <w:color w:val="727577"/>
          <w:w w:val="105"/>
        </w:rPr>
        <w:t xml:space="preserve">Neisseria gonorrhoeae, </w:t>
      </w:r>
      <w:r>
        <w:rPr>
          <w:i/>
          <w:color w:val="606464"/>
          <w:w w:val="105"/>
        </w:rPr>
        <w:t xml:space="preserve">Escherichia </w:t>
      </w:r>
      <w:r>
        <w:rPr>
          <w:i/>
          <w:color w:val="727577"/>
          <w:w w:val="105"/>
        </w:rPr>
        <w:t>со/і</w:t>
      </w:r>
      <w:r>
        <w:rPr>
          <w:i/>
          <w:color w:val="909190"/>
          <w:w w:val="105"/>
        </w:rPr>
        <w:t xml:space="preserve">, </w:t>
      </w:r>
      <w:r>
        <w:rPr>
          <w:i/>
          <w:color w:val="606464"/>
          <w:w w:val="105"/>
        </w:rPr>
        <w:t xml:space="preserve">Shigella </w:t>
      </w:r>
      <w:r>
        <w:rPr>
          <w:i/>
          <w:color w:val="727577"/>
          <w:w w:val="105"/>
        </w:rPr>
        <w:t>spp.</w:t>
      </w:r>
      <w:r>
        <w:rPr>
          <w:i/>
          <w:color w:val="909190"/>
          <w:w w:val="105"/>
        </w:rPr>
        <w:t xml:space="preserve">, </w:t>
      </w:r>
      <w:r>
        <w:rPr>
          <w:i/>
          <w:color w:val="606464"/>
          <w:w w:val="105"/>
        </w:rPr>
        <w:t xml:space="preserve">Salmonella </w:t>
      </w:r>
      <w:r>
        <w:rPr>
          <w:i/>
          <w:color w:val="727577"/>
          <w:w w:val="105"/>
        </w:rPr>
        <w:t>spp</w:t>
      </w:r>
      <w:r>
        <w:rPr>
          <w:i/>
          <w:color w:val="494D4F"/>
          <w:w w:val="105"/>
        </w:rPr>
        <w:t>.</w:t>
      </w:r>
      <w:r>
        <w:rPr>
          <w:i/>
          <w:color w:val="909190"/>
          <w:w w:val="105"/>
        </w:rPr>
        <w:t xml:space="preserve">, </w:t>
      </w:r>
      <w:r>
        <w:rPr>
          <w:i/>
          <w:color w:val="727577"/>
          <w:w w:val="105"/>
        </w:rPr>
        <w:t>Enterobacter spp.</w:t>
      </w:r>
      <w:r>
        <w:rPr>
          <w:i/>
          <w:color w:val="909190"/>
          <w:w w:val="105"/>
        </w:rPr>
        <w:t xml:space="preserve">, </w:t>
      </w:r>
      <w:r>
        <w:rPr>
          <w:i/>
          <w:color w:val="606464"/>
          <w:w w:val="105"/>
        </w:rPr>
        <w:t xml:space="preserve">Klebsiella spp., Bordetella patussis, </w:t>
      </w:r>
      <w:r>
        <w:rPr>
          <w:color w:val="727577"/>
          <w:w w:val="105"/>
        </w:rPr>
        <w:t xml:space="preserve">as well as to </w:t>
      </w:r>
      <w:r>
        <w:rPr>
          <w:i/>
          <w:color w:val="606464"/>
          <w:w w:val="105"/>
        </w:rPr>
        <w:t xml:space="preserve">Rickettsia spp., Treponema spp., Mycoplasma </w:t>
      </w:r>
      <w:r>
        <w:rPr>
          <w:i/>
          <w:color w:val="727577"/>
          <w:w w:val="105"/>
        </w:rPr>
        <w:t xml:space="preserve">spp. </w:t>
      </w:r>
      <w:r>
        <w:t>and</w:t>
      </w:r>
      <w:r>
        <w:rPr>
          <w:color w:val="606464"/>
          <w:w w:val="105"/>
        </w:rPr>
        <w:t xml:space="preserve"> </w:t>
      </w:r>
      <w:r>
        <w:rPr>
          <w:i/>
          <w:color w:val="727577"/>
          <w:w w:val="105"/>
        </w:rPr>
        <w:t>Chlamydia spp.</w:t>
      </w:r>
    </w:p>
    <w:p w:rsidR="002B0397" w:rsidRPr="005A4B67" w:rsidRDefault="00C0798E">
      <w:pPr>
        <w:pStyle w:val="a3"/>
        <w:spacing w:line="252" w:lineRule="auto"/>
        <w:ind w:left="120" w:right="143" w:firstLine="560"/>
        <w:jc w:val="both"/>
        <w:rPr>
          <w:sz w:val="22"/>
          <w:szCs w:val="22"/>
        </w:rPr>
      </w:pPr>
      <w:r>
        <w:t>The mode of bacteriostatic action is associated with inhibition of the synthesis of microbial protein.</w:t>
      </w:r>
      <w:r>
        <w:rPr>
          <w:color w:val="606464"/>
          <w:w w:val="105"/>
          <w:sz w:val="22"/>
        </w:rPr>
        <w:t xml:space="preserve"> </w:t>
      </w:r>
      <w:r>
        <w:t>The action of Doxycycline is directed to a subunit ЗОS of the bacterial ribosome, which bind</w:t>
      </w:r>
      <w:r w:rsidR="008B10E8">
        <w:t>s</w:t>
      </w:r>
      <w:r>
        <w:t xml:space="preserve"> reversibly, blocking the link between the aminoacyl tRNA and the mRNA ribosomal complex, preventing the attachment of new amino acids to the peptide chain, what inhibits the protein synthesis.</w:t>
      </w:r>
    </w:p>
    <w:p w:rsidR="002B0397" w:rsidRPr="005A4B67" w:rsidRDefault="00C0798E" w:rsidP="008B10E8">
      <w:pPr>
        <w:pStyle w:val="a3"/>
        <w:spacing w:before="6" w:line="245" w:lineRule="exact"/>
        <w:ind w:left="124" w:firstLine="550"/>
        <w:jc w:val="both"/>
        <w:rPr>
          <w:sz w:val="22"/>
          <w:szCs w:val="22"/>
        </w:rPr>
      </w:pPr>
      <w:r>
        <w:t xml:space="preserve">The </w:t>
      </w:r>
      <w:r w:rsidR="00105848">
        <w:t>medication</w:t>
      </w:r>
      <w:r>
        <w:t xml:space="preserve"> is well absorbed from the digestive canal (maximal absorption at</w:t>
      </w:r>
      <w:r w:rsidR="008B10E8">
        <w:t xml:space="preserve"> </w:t>
      </w:r>
      <w:r>
        <w:t xml:space="preserve">oral administration is 5–10 times more intensive than </w:t>
      </w:r>
      <w:r w:rsidR="008B10E8">
        <w:t xml:space="preserve">of </w:t>
      </w:r>
      <w:r>
        <w:t xml:space="preserve">other </w:t>
      </w:r>
      <w:proofErr w:type="spellStart"/>
      <w:r>
        <w:t>tetracyclines</w:t>
      </w:r>
      <w:proofErr w:type="spellEnd"/>
      <w:r>
        <w:t>), and quickly distributed in the body. Doxycycline is subjected to intestinal and renal reabsorption and can recirculate in the body.</w:t>
      </w:r>
      <w:r>
        <w:rPr>
          <w:color w:val="606464"/>
          <w:sz w:val="22"/>
        </w:rPr>
        <w:t xml:space="preserve"> </w:t>
      </w:r>
      <w:r>
        <w:t>Doxycycline is characterized by the prolonged action (it is quickly absorbed and slowly excreted from the body).</w:t>
      </w:r>
    </w:p>
    <w:p w:rsidR="002B0397" w:rsidRPr="005A4B67" w:rsidRDefault="00C0798E">
      <w:pPr>
        <w:pStyle w:val="a3"/>
        <w:spacing w:line="252" w:lineRule="auto"/>
        <w:ind w:left="114" w:right="142" w:firstLine="560"/>
        <w:jc w:val="both"/>
        <w:rPr>
          <w:sz w:val="22"/>
          <w:szCs w:val="22"/>
        </w:rPr>
      </w:pPr>
      <w:r>
        <w:t xml:space="preserve">Due to its high fat-solubility </w:t>
      </w:r>
      <w:proofErr w:type="spellStart"/>
      <w:r>
        <w:t>Doxycycline</w:t>
      </w:r>
      <w:proofErr w:type="spellEnd"/>
      <w:r>
        <w:t xml:space="preserve"> is </w:t>
      </w:r>
      <w:r w:rsidR="008B10E8">
        <w:t xml:space="preserve">widely </w:t>
      </w:r>
      <w:r>
        <w:t>distributed in the body.</w:t>
      </w:r>
      <w:r>
        <w:rPr>
          <w:color w:val="606464"/>
          <w:w w:val="105"/>
          <w:sz w:val="22"/>
        </w:rPr>
        <w:t xml:space="preserve"> It penetrates well into </w:t>
      </w:r>
      <w:r w:rsidRPr="008B10E8">
        <w:t xml:space="preserve">peripheral tissues and into those tissues that are surrounded with fluids. The </w:t>
      </w:r>
      <w:r w:rsidR="00105848">
        <w:t>product</w:t>
      </w:r>
      <w:r w:rsidRPr="008B10E8">
        <w:t xml:space="preserve"> is accumulated in the liver,</w:t>
      </w:r>
      <w:r>
        <w:rPr>
          <w:color w:val="606464"/>
          <w:w w:val="105"/>
          <w:sz w:val="22"/>
        </w:rPr>
        <w:t xml:space="preserve"> kidneys, bones and intestines. </w:t>
      </w:r>
      <w:r>
        <w:t>The concentration of the drug reached in lungs is always h</w:t>
      </w:r>
      <w:r w:rsidR="008B10E8">
        <w:t>i</w:t>
      </w:r>
      <w:r>
        <w:t>gher than in the blood plasma.</w:t>
      </w:r>
      <w:r>
        <w:rPr>
          <w:color w:val="606464"/>
          <w:w w:val="105"/>
          <w:sz w:val="22"/>
        </w:rPr>
        <w:t xml:space="preserve"> </w:t>
      </w:r>
      <w:r>
        <w:t>Compared to other antibiotics, Doxycycline creates high concentrations in blood.</w:t>
      </w:r>
      <w:r>
        <w:rPr>
          <w:color w:val="606464"/>
          <w:w w:val="105"/>
          <w:sz w:val="22"/>
        </w:rPr>
        <w:t xml:space="preserve"> </w:t>
      </w:r>
      <w:r>
        <w:t>Therapeutic concentrations are observed in body fluids, myocardium, reproductive system tissues, brain and in mammary tissue.</w:t>
      </w:r>
      <w:r>
        <w:rPr>
          <w:color w:val="727577"/>
          <w:w w:val="105"/>
          <w:sz w:val="22"/>
        </w:rPr>
        <w:t xml:space="preserve"> </w:t>
      </w:r>
      <w:r>
        <w:t>The drug bind</w:t>
      </w:r>
      <w:r w:rsidR="008B10E8">
        <w:t>s</w:t>
      </w:r>
      <w:r>
        <w:t xml:space="preserve"> to plasma proteins by about 90-92%.</w:t>
      </w:r>
      <w:r>
        <w:rPr>
          <w:rFonts w:ascii="Arial" w:hAnsi="Arial"/>
          <w:color w:val="727577"/>
          <w:w w:val="105"/>
          <w:sz w:val="22"/>
        </w:rPr>
        <w:t xml:space="preserve"> </w:t>
      </w:r>
      <w:r>
        <w:t>It is excreted from the body mainly in fecal masses and urine.</w:t>
      </w:r>
    </w:p>
    <w:p w:rsidR="002B0397" w:rsidRDefault="00C0798E">
      <w:pPr>
        <w:pStyle w:val="1"/>
        <w:spacing w:before="12"/>
        <w:ind w:left="679"/>
      </w:pPr>
      <w:r>
        <w:rPr>
          <w:color w:val="494D4F"/>
        </w:rPr>
        <w:t>Indications for use</w:t>
      </w:r>
    </w:p>
    <w:p w:rsidR="002B0397" w:rsidRPr="005A4B67" w:rsidRDefault="00C0798E">
      <w:pPr>
        <w:spacing w:before="17" w:line="249" w:lineRule="auto"/>
        <w:ind w:left="124" w:right="126" w:firstLine="551"/>
        <w:jc w:val="both"/>
      </w:pPr>
      <w:r>
        <w:rPr>
          <w:color w:val="606464"/>
          <w:w w:val="105"/>
        </w:rPr>
        <w:t xml:space="preserve">Pigs: </w:t>
      </w:r>
      <w:r>
        <w:t xml:space="preserve">treatment of animals with atrophic rhinitis, bronchopneumonia and pleuropneumonia caused by microorganisms sensitive to Doxycycline </w:t>
      </w:r>
      <w:r>
        <w:rPr>
          <w:i/>
          <w:color w:val="727577"/>
          <w:w w:val="105"/>
        </w:rPr>
        <w:t>(P as</w:t>
      </w:r>
      <w:r>
        <w:rPr>
          <w:i/>
          <w:color w:val="494D4F"/>
          <w:w w:val="105"/>
        </w:rPr>
        <w:t>t</w:t>
      </w:r>
      <w:r>
        <w:rPr>
          <w:i/>
          <w:color w:val="727577"/>
          <w:w w:val="105"/>
        </w:rPr>
        <w:t xml:space="preserve">eurella </w:t>
      </w:r>
      <w:r>
        <w:rPr>
          <w:i/>
          <w:color w:val="606464"/>
          <w:w w:val="105"/>
        </w:rPr>
        <w:t xml:space="preserve">multocida, Streptococcus suis </w:t>
      </w:r>
      <w:r>
        <w:rPr>
          <w:color w:val="606464"/>
          <w:w w:val="105"/>
        </w:rPr>
        <w:t xml:space="preserve">і </w:t>
      </w:r>
      <w:r>
        <w:rPr>
          <w:i/>
          <w:color w:val="606464"/>
          <w:w w:val="105"/>
        </w:rPr>
        <w:t>Mycoplasma spp., Haemophilus  pleuropneumonia</w:t>
      </w:r>
      <w:r>
        <w:rPr>
          <w:i/>
          <w:color w:val="909190"/>
        </w:rPr>
        <w:t>,</w:t>
      </w:r>
      <w:r>
        <w:rPr>
          <w:i/>
          <w:color w:val="606464"/>
        </w:rPr>
        <w:t>eActinobacillus pleuropneumoniae)</w:t>
      </w:r>
      <w:r>
        <w:t>.</w:t>
      </w:r>
    </w:p>
    <w:p w:rsidR="002B0397" w:rsidRDefault="00C0798E">
      <w:pPr>
        <w:spacing w:before="6" w:line="285" w:lineRule="auto"/>
        <w:ind w:left="256" w:right="267" w:firstLine="561"/>
        <w:jc w:val="both"/>
        <w:rPr>
          <w:sz w:val="23"/>
        </w:rPr>
      </w:pPr>
      <w:r>
        <w:rPr>
          <w:color w:val="606464"/>
          <w:w w:val="105"/>
        </w:rPr>
        <w:t xml:space="preserve">Poultry (broiler chickens, turkeys): </w:t>
      </w:r>
      <w:r w:rsidR="008B10E8">
        <w:t>t</w:t>
      </w:r>
      <w:r>
        <w:t xml:space="preserve">reatment of poultry with respiratory and digestive tract diseases caused by microorganisms sensitive to Doxycycline </w:t>
      </w:r>
      <w:r>
        <w:rPr>
          <w:i/>
          <w:color w:val="606464"/>
          <w:w w:val="105"/>
        </w:rPr>
        <w:t xml:space="preserve">(Mycoplasma spp. (М gallisepticum, М synoviae </w:t>
      </w:r>
      <w:r>
        <w:rPr>
          <w:color w:val="494D4F"/>
          <w:w w:val="105"/>
        </w:rPr>
        <w:t xml:space="preserve">і </w:t>
      </w:r>
      <w:r>
        <w:rPr>
          <w:i/>
          <w:color w:val="606464"/>
          <w:w w:val="105"/>
        </w:rPr>
        <w:t xml:space="preserve">М </w:t>
      </w:r>
      <w:r>
        <w:rPr>
          <w:i/>
          <w:color w:val="B3B3B3"/>
          <w:w w:val="105"/>
        </w:rPr>
        <w:t>·</w:t>
      </w:r>
      <w:r>
        <w:rPr>
          <w:i/>
          <w:color w:val="606464"/>
          <w:w w:val="105"/>
        </w:rPr>
        <w:t xml:space="preserve">мelagridis), Escherichia coli, </w:t>
      </w:r>
      <w:r>
        <w:rPr>
          <w:i/>
          <w:color w:val="494D4F"/>
          <w:w w:val="105"/>
        </w:rPr>
        <w:t>Ha</w:t>
      </w:r>
      <w:r>
        <w:rPr>
          <w:i/>
          <w:color w:val="727577"/>
          <w:w w:val="105"/>
        </w:rPr>
        <w:t xml:space="preserve">emophilus </w:t>
      </w:r>
      <w:r>
        <w:rPr>
          <w:i/>
          <w:color w:val="606464"/>
          <w:w w:val="105"/>
        </w:rPr>
        <w:t xml:space="preserve">paragalinarum </w:t>
      </w:r>
      <w:r>
        <w:rPr>
          <w:color w:val="606464"/>
          <w:w w:val="105"/>
        </w:rPr>
        <w:t xml:space="preserve">and </w:t>
      </w:r>
      <w:r>
        <w:rPr>
          <w:i/>
          <w:color w:val="606464"/>
          <w:w w:val="105"/>
        </w:rPr>
        <w:t xml:space="preserve">Bordetella avium, Clostridium perfrigens </w:t>
      </w:r>
      <w:r>
        <w:rPr>
          <w:color w:val="606464"/>
          <w:w w:val="105"/>
        </w:rPr>
        <w:t xml:space="preserve">і </w:t>
      </w:r>
      <w:r>
        <w:rPr>
          <w:i/>
          <w:color w:val="606464"/>
          <w:w w:val="105"/>
        </w:rPr>
        <w:t xml:space="preserve">Clostridium </w:t>
      </w:r>
      <w:r>
        <w:rPr>
          <w:i/>
          <w:color w:val="727577"/>
          <w:w w:val="105"/>
        </w:rPr>
        <w:t>colinum</w:t>
      </w:r>
      <w:r>
        <w:rPr>
          <w:color w:val="606464"/>
          <w:w w:val="105"/>
        </w:rPr>
        <w:t>).</w:t>
      </w:r>
    </w:p>
    <w:p w:rsidR="002B0397" w:rsidRDefault="00C0798E">
      <w:pPr>
        <w:pStyle w:val="1"/>
        <w:spacing w:before="15"/>
        <w:ind w:left="677"/>
      </w:pPr>
      <w:r>
        <w:rPr>
          <w:color w:val="606464"/>
        </w:rPr>
        <w:t>Dosage</w:t>
      </w:r>
    </w:p>
    <w:p w:rsidR="002B0397" w:rsidRPr="005A4B67" w:rsidRDefault="005A4B67">
      <w:pPr>
        <w:pStyle w:val="a3"/>
        <w:spacing w:before="40"/>
        <w:ind w:left="685"/>
        <w:rPr>
          <w:sz w:val="22"/>
          <w:szCs w:val="22"/>
        </w:rPr>
      </w:pPr>
      <w:r>
        <w:t xml:space="preserve">Orally with </w:t>
      </w:r>
      <w:r w:rsidR="008B10E8">
        <w:t>drinking</w:t>
      </w:r>
      <w:r>
        <w:t xml:space="preserve"> water in a dose of:</w:t>
      </w:r>
    </w:p>
    <w:p w:rsidR="002B0397" w:rsidRPr="005A4B67" w:rsidRDefault="00105848" w:rsidP="005A4B67">
      <w:pPr>
        <w:pStyle w:val="a3"/>
        <w:spacing w:before="10" w:line="244" w:lineRule="auto"/>
        <w:ind w:left="127" w:right="143" w:firstLine="554"/>
        <w:jc w:val="both"/>
        <w:rPr>
          <w:sz w:val="22"/>
          <w:szCs w:val="22"/>
        </w:rPr>
        <w:sectPr w:rsidR="002B0397" w:rsidRPr="005A4B67">
          <w:headerReference w:type="default" r:id="rId6"/>
          <w:type w:val="continuous"/>
          <w:pgSz w:w="11900" w:h="16840"/>
          <w:pgMar w:top="1340" w:right="380" w:bottom="280" w:left="1040" w:header="824" w:footer="720" w:gutter="0"/>
          <w:cols w:space="720"/>
        </w:sectPr>
      </w:pPr>
      <w:r>
        <w:t>P</w:t>
      </w:r>
      <w:r w:rsidR="00C0798E">
        <w:t>igs</w:t>
      </w:r>
      <w:r>
        <w:t>:</w:t>
      </w:r>
      <w:r w:rsidR="00C0798E">
        <w:t xml:space="preserve"> 20 mg of the </w:t>
      </w:r>
      <w:r>
        <w:t>product</w:t>
      </w:r>
      <w:r w:rsidR="00C0798E">
        <w:t xml:space="preserve"> (which is the equivalent of 10 mg of Doxycycline hyclate) per 1 kg of body weigh</w:t>
      </w:r>
      <w:r w:rsidR="008B10E8">
        <w:t>t</w:t>
      </w:r>
      <w:r w:rsidR="00C0798E">
        <w:t xml:space="preserve"> per day or 200 g of the </w:t>
      </w:r>
      <w:r>
        <w:t>product</w:t>
      </w:r>
      <w:r w:rsidR="00C0798E">
        <w:t xml:space="preserve"> (100 g of Doxycycline hyclate) per 1000 liters of </w:t>
      </w:r>
      <w:r w:rsidR="008B10E8">
        <w:t>drinking</w:t>
      </w:r>
      <w:r w:rsidR="00C0798E">
        <w:t xml:space="preserve"> water every day.</w:t>
      </w:r>
    </w:p>
    <w:p w:rsidR="002B0397" w:rsidRDefault="002B0397" w:rsidP="005A4B67">
      <w:pPr>
        <w:spacing w:before="9"/>
        <w:ind w:right="377"/>
        <w:rPr>
          <w:sz w:val="30"/>
        </w:rPr>
      </w:pPr>
    </w:p>
    <w:p w:rsidR="002B0397" w:rsidRPr="005A4B67" w:rsidRDefault="005A4B67">
      <w:pPr>
        <w:pStyle w:val="a3"/>
        <w:spacing w:before="122" w:line="237" w:lineRule="auto"/>
        <w:ind w:left="112" w:right="101" w:firstLine="561"/>
        <w:jc w:val="both"/>
        <w:rPr>
          <w:sz w:val="22"/>
          <w:szCs w:val="22"/>
        </w:rPr>
      </w:pPr>
      <w:r>
        <w:t>Poultry (broiler chickens, turkeys)</w:t>
      </w:r>
      <w:r w:rsidR="00105848">
        <w:t>:</w:t>
      </w:r>
      <w:r>
        <w:t xml:space="preserve"> 50 mg of the </w:t>
      </w:r>
      <w:r w:rsidR="00105848">
        <w:t>product</w:t>
      </w:r>
      <w:r>
        <w:t xml:space="preserve"> (which is the equivalent of 25 mg of Doxycycline hyclate) per 1 kg of body weigh</w:t>
      </w:r>
      <w:r w:rsidR="008B10E8">
        <w:t>t</w:t>
      </w:r>
      <w:r>
        <w:t xml:space="preserve"> per day or 200 g of the </w:t>
      </w:r>
      <w:r w:rsidR="00105848">
        <w:t>product</w:t>
      </w:r>
      <w:r>
        <w:t xml:space="preserve"> (100 g of Doxycycline hyclate) per 1000 liters of </w:t>
      </w:r>
      <w:r w:rsidR="008B10E8">
        <w:t>drinking</w:t>
      </w:r>
      <w:r>
        <w:t xml:space="preserve"> water every day.</w:t>
      </w:r>
    </w:p>
    <w:p w:rsidR="002B0397" w:rsidRPr="005A4B67" w:rsidRDefault="00105848">
      <w:pPr>
        <w:pStyle w:val="a3"/>
        <w:ind w:left="677"/>
        <w:rPr>
          <w:sz w:val="22"/>
          <w:szCs w:val="22"/>
        </w:rPr>
      </w:pPr>
      <w:r>
        <w:t>The c</w:t>
      </w:r>
      <w:r w:rsidR="00C0798E">
        <w:t>ourse of treatment is 3–5 days.</w:t>
      </w:r>
    </w:p>
    <w:p w:rsidR="002B0397" w:rsidRPr="005A4B67" w:rsidRDefault="00C0798E">
      <w:pPr>
        <w:pStyle w:val="a3"/>
        <w:spacing w:before="15" w:line="249" w:lineRule="auto"/>
        <w:ind w:left="106" w:right="374" w:firstLine="566"/>
        <w:rPr>
          <w:sz w:val="22"/>
          <w:szCs w:val="22"/>
        </w:rPr>
      </w:pPr>
      <w:r>
        <w:t xml:space="preserve">During </w:t>
      </w:r>
      <w:r w:rsidR="008B10E8">
        <w:t xml:space="preserve">the </w:t>
      </w:r>
      <w:r>
        <w:t xml:space="preserve">course of treatment animals should not have access to other sources of </w:t>
      </w:r>
      <w:r w:rsidR="008B10E8">
        <w:t>drinking</w:t>
      </w:r>
      <w:r>
        <w:t xml:space="preserve"> water, except water with the </w:t>
      </w:r>
      <w:r w:rsidR="00105848">
        <w:t>medication</w:t>
      </w:r>
      <w:r>
        <w:t>.</w:t>
      </w:r>
      <w:r>
        <w:rPr>
          <w:color w:val="5D6262"/>
          <w:sz w:val="22"/>
        </w:rPr>
        <w:t xml:space="preserve"> Change water with the </w:t>
      </w:r>
      <w:r w:rsidR="00105848">
        <w:rPr>
          <w:color w:val="5D6262"/>
          <w:sz w:val="22"/>
        </w:rPr>
        <w:t>product</w:t>
      </w:r>
      <w:r>
        <w:rPr>
          <w:color w:val="5D6262"/>
          <w:sz w:val="22"/>
        </w:rPr>
        <w:t xml:space="preserve"> every 24 hours.</w:t>
      </w:r>
    </w:p>
    <w:p w:rsidR="002B0397" w:rsidRDefault="00C0798E">
      <w:pPr>
        <w:pStyle w:val="1"/>
        <w:spacing w:before="6"/>
        <w:ind w:left="671"/>
      </w:pPr>
      <w:r>
        <w:rPr>
          <w:color w:val="464B4B"/>
          <w:w w:val="105"/>
        </w:rPr>
        <w:t>Contraindications</w:t>
      </w:r>
    </w:p>
    <w:p w:rsidR="00105848" w:rsidRDefault="00C0798E">
      <w:pPr>
        <w:pStyle w:val="a3"/>
        <w:spacing w:before="16" w:line="244" w:lineRule="auto"/>
        <w:ind w:left="665" w:right="226" w:firstLine="5"/>
        <w:rPr>
          <w:color w:val="5D6262"/>
          <w:w w:val="105"/>
          <w:sz w:val="22"/>
        </w:rPr>
      </w:pPr>
      <w:proofErr w:type="gramStart"/>
      <w:r>
        <w:t xml:space="preserve">Individual hypersensitivity to Doxycycline or to any of the </w:t>
      </w:r>
      <w:proofErr w:type="spellStart"/>
      <w:r>
        <w:t>excepients</w:t>
      </w:r>
      <w:proofErr w:type="spellEnd"/>
      <w:r>
        <w:t>.</w:t>
      </w:r>
      <w:proofErr w:type="gramEnd"/>
    </w:p>
    <w:p w:rsidR="002B0397" w:rsidRPr="005A4B67" w:rsidRDefault="00C0798E">
      <w:pPr>
        <w:pStyle w:val="a3"/>
        <w:spacing w:before="16" w:line="244" w:lineRule="auto"/>
        <w:ind w:left="665" w:right="226" w:firstLine="5"/>
        <w:rPr>
          <w:sz w:val="22"/>
          <w:szCs w:val="22"/>
        </w:rPr>
      </w:pPr>
      <w:r>
        <w:t>Do not use in animals with liver and kidneys disorders.</w:t>
      </w:r>
    </w:p>
    <w:p w:rsidR="002B0397" w:rsidRPr="005A4B67" w:rsidRDefault="00C0798E">
      <w:pPr>
        <w:pStyle w:val="a3"/>
        <w:spacing w:before="5"/>
        <w:ind w:left="665"/>
        <w:rPr>
          <w:sz w:val="22"/>
          <w:szCs w:val="22"/>
        </w:rPr>
      </w:pPr>
      <w:r>
        <w:t>Do not use in laying chickens if eggs are intended for human consumption.</w:t>
      </w:r>
    </w:p>
    <w:p w:rsidR="002B0397" w:rsidRPr="005A4B67" w:rsidRDefault="00C0798E">
      <w:pPr>
        <w:pStyle w:val="a3"/>
        <w:spacing w:before="10"/>
        <w:ind w:left="665"/>
        <w:rPr>
          <w:sz w:val="22"/>
          <w:szCs w:val="22"/>
        </w:rPr>
      </w:pPr>
      <w:r>
        <w:t xml:space="preserve">Do not use </w:t>
      </w:r>
      <w:r w:rsidR="00105848" w:rsidRPr="00B97AE6">
        <w:t>concomitantly</w:t>
      </w:r>
      <w:r>
        <w:t xml:space="preserve"> with antibiotics of the penicillin group, cephalosporins, quinolones and</w:t>
      </w:r>
    </w:p>
    <w:p w:rsidR="00105848" w:rsidRDefault="007F370C" w:rsidP="008B10E8">
      <w:pPr>
        <w:pStyle w:val="a3"/>
        <w:spacing w:before="69"/>
        <w:ind w:left="104"/>
        <w:rPr>
          <w:color w:val="5D6262"/>
          <w:sz w:val="22"/>
        </w:rPr>
      </w:pPr>
      <w:proofErr w:type="spellStart"/>
      <w:proofErr w:type="gramStart"/>
      <w:r>
        <w:t>cycloserine</w:t>
      </w:r>
      <w:proofErr w:type="spellEnd"/>
      <w:proofErr w:type="gramEnd"/>
      <w:r>
        <w:rPr>
          <w:color w:val="5D6262"/>
          <w:sz w:val="22"/>
        </w:rPr>
        <w:t xml:space="preserve">. </w:t>
      </w:r>
    </w:p>
    <w:p w:rsidR="002B0397" w:rsidRPr="008B10E8" w:rsidRDefault="007F370C" w:rsidP="00105848">
      <w:pPr>
        <w:pStyle w:val="a3"/>
        <w:spacing w:before="69"/>
        <w:ind w:left="104" w:right="92" w:firstLine="605"/>
      </w:pPr>
      <w:r>
        <w:t xml:space="preserve">Do not use </w:t>
      </w:r>
      <w:r w:rsidR="00105848" w:rsidRPr="00B97AE6">
        <w:t>concomitantly</w:t>
      </w:r>
      <w:r>
        <w:t xml:space="preserve"> with kaolin and substances containing metal ions (antacids, preparations containing </w:t>
      </w:r>
      <w:r w:rsidRPr="008B10E8">
        <w:t>Mg</w:t>
      </w:r>
      <w:r w:rsidRPr="008B10E8">
        <w:rPr>
          <w:vertAlign w:val="superscript"/>
        </w:rPr>
        <w:t>2</w:t>
      </w:r>
      <w:r w:rsidRPr="008B10E8">
        <w:t>+, АІ</w:t>
      </w:r>
      <w:r w:rsidRPr="008B10E8">
        <w:rPr>
          <w:vertAlign w:val="superscript"/>
        </w:rPr>
        <w:t>3</w:t>
      </w:r>
      <w:r w:rsidRPr="008B10E8">
        <w:t>+, Са</w:t>
      </w:r>
      <w:r w:rsidRPr="008B10E8">
        <w:rPr>
          <w:vertAlign w:val="superscript"/>
        </w:rPr>
        <w:t>2</w:t>
      </w:r>
      <w:r w:rsidRPr="008B10E8">
        <w:t>, Zn</w:t>
      </w:r>
      <w:r w:rsidRPr="008B10E8">
        <w:rPr>
          <w:vertAlign w:val="superscript"/>
        </w:rPr>
        <w:t>2</w:t>
      </w:r>
      <w:r w:rsidRPr="008B10E8">
        <w:t>, Fe</w:t>
      </w:r>
      <w:r w:rsidRPr="000D6477">
        <w:rPr>
          <w:vertAlign w:val="superscript"/>
        </w:rPr>
        <w:t>3</w:t>
      </w:r>
      <w:r w:rsidRPr="008B10E8">
        <w:t>.</w:t>
      </w:r>
    </w:p>
    <w:p w:rsidR="002B0397" w:rsidRPr="005A4B67" w:rsidRDefault="00C0798E">
      <w:pPr>
        <w:pStyle w:val="a3"/>
        <w:spacing w:before="24"/>
        <w:ind w:left="659"/>
        <w:rPr>
          <w:sz w:val="22"/>
          <w:szCs w:val="22"/>
        </w:rPr>
      </w:pPr>
      <w:r>
        <w:t>Do not use in breeding pigs in pregnancy and lactation.</w:t>
      </w:r>
    </w:p>
    <w:p w:rsidR="002B0397" w:rsidRPr="0099036C" w:rsidRDefault="00C0798E">
      <w:pPr>
        <w:pStyle w:val="1"/>
        <w:ind w:left="659"/>
        <w:rPr>
          <w:sz w:val="22"/>
          <w:szCs w:val="22"/>
        </w:rPr>
      </w:pPr>
      <w:r>
        <w:rPr>
          <w:color w:val="464B4B"/>
          <w:sz w:val="22"/>
        </w:rPr>
        <w:t>Warnings and Precautions</w:t>
      </w:r>
    </w:p>
    <w:p w:rsidR="002B0397" w:rsidRPr="0099036C" w:rsidRDefault="00C0798E">
      <w:pPr>
        <w:pStyle w:val="a3"/>
        <w:spacing w:before="10" w:line="288" w:lineRule="auto"/>
        <w:ind w:left="104" w:right="272" w:firstLine="560"/>
        <w:jc w:val="both"/>
        <w:rPr>
          <w:sz w:val="22"/>
          <w:szCs w:val="22"/>
        </w:rPr>
      </w:pPr>
      <w:r>
        <w:t xml:space="preserve">Slaughter of animals and poultry for meat is </w:t>
      </w:r>
      <w:r w:rsidR="00105848">
        <w:t>authorized</w:t>
      </w:r>
      <w:r>
        <w:t xml:space="preserve"> in 7 days (broiler chickens), 17 days (turkeys), </w:t>
      </w:r>
      <w:proofErr w:type="gramStart"/>
      <w:r>
        <w:t>4</w:t>
      </w:r>
      <w:proofErr w:type="gramEnd"/>
      <w:r>
        <w:t xml:space="preserve"> days (pigs) after the last administration of the drug.</w:t>
      </w:r>
      <w:r>
        <w:rPr>
          <w:color w:val="5D6262"/>
          <w:w w:val="105"/>
          <w:sz w:val="22"/>
        </w:rPr>
        <w:t xml:space="preserve"> </w:t>
      </w:r>
      <w:r>
        <w:t xml:space="preserve">Meat produced before the specified time </w:t>
      </w:r>
      <w:r w:rsidR="00105848">
        <w:t>should be</w:t>
      </w:r>
      <w:r>
        <w:t xml:space="preserve"> disposed or fed to non-productive animals, depending on the conclusion of the veterinary physician.</w:t>
      </w:r>
    </w:p>
    <w:p w:rsidR="002B0397" w:rsidRDefault="00105848">
      <w:pPr>
        <w:pStyle w:val="1"/>
        <w:spacing w:before="1"/>
        <w:ind w:left="667"/>
      </w:pPr>
      <w:r>
        <w:rPr>
          <w:color w:val="464B4B"/>
        </w:rPr>
        <w:t>Packaging</w:t>
      </w:r>
    </w:p>
    <w:p w:rsidR="002B0397" w:rsidRPr="0099036C" w:rsidRDefault="00105848">
      <w:pPr>
        <w:pStyle w:val="a3"/>
        <w:spacing w:before="31"/>
        <w:ind w:left="665"/>
        <w:rPr>
          <w:sz w:val="22"/>
          <w:szCs w:val="22"/>
        </w:rPr>
      </w:pPr>
      <w:r>
        <w:t>500 g and 1000 g p</w:t>
      </w:r>
      <w:r w:rsidR="00C0798E">
        <w:t>lastic containers closed with caps.</w:t>
      </w:r>
    </w:p>
    <w:p w:rsidR="002B0397" w:rsidRPr="0099036C" w:rsidRDefault="00C0798E">
      <w:pPr>
        <w:pStyle w:val="1"/>
        <w:spacing w:before="56"/>
        <w:ind w:left="659"/>
        <w:rPr>
          <w:sz w:val="22"/>
          <w:szCs w:val="22"/>
        </w:rPr>
      </w:pPr>
      <w:r>
        <w:rPr>
          <w:color w:val="464B4B"/>
          <w:sz w:val="22"/>
        </w:rPr>
        <w:t>Storage</w:t>
      </w:r>
    </w:p>
    <w:p w:rsidR="002B0397" w:rsidRPr="0099036C" w:rsidRDefault="00C0798E">
      <w:pPr>
        <w:pStyle w:val="a3"/>
        <w:spacing w:before="36" w:line="288" w:lineRule="auto"/>
        <w:ind w:left="231" w:right="374" w:firstLine="422"/>
        <w:rPr>
          <w:sz w:val="22"/>
          <w:szCs w:val="22"/>
        </w:rPr>
      </w:pPr>
      <w:r>
        <w:t xml:space="preserve">Keep away from children. </w:t>
      </w:r>
      <w:proofErr w:type="gramStart"/>
      <w:r>
        <w:t xml:space="preserve">Store in the original package, in dry dark place </w:t>
      </w:r>
      <w:r w:rsidR="00105848">
        <w:t>at</w:t>
      </w:r>
      <w:r>
        <w:t xml:space="preserve"> temperature 10 ºС to 25 ºС.</w:t>
      </w:r>
      <w:proofErr w:type="gramEnd"/>
    </w:p>
    <w:p w:rsidR="002B0397" w:rsidRPr="0099036C" w:rsidRDefault="00C0798E">
      <w:pPr>
        <w:pStyle w:val="a3"/>
        <w:spacing w:line="260" w:lineRule="exact"/>
        <w:ind w:left="650"/>
        <w:rPr>
          <w:sz w:val="22"/>
          <w:szCs w:val="22"/>
        </w:rPr>
      </w:pPr>
      <w:r>
        <w:t>Shelf life is 2 years.</w:t>
      </w:r>
    </w:p>
    <w:p w:rsidR="002B0397" w:rsidRPr="0099036C" w:rsidRDefault="00105848">
      <w:pPr>
        <w:pStyle w:val="a3"/>
        <w:spacing w:before="41" w:line="254" w:lineRule="auto"/>
        <w:ind w:left="653"/>
        <w:rPr>
          <w:sz w:val="22"/>
          <w:szCs w:val="22"/>
        </w:rPr>
      </w:pPr>
      <w:r>
        <w:t xml:space="preserve">After the first opening of the </w:t>
      </w:r>
      <w:r w:rsidR="000D6477" w:rsidRPr="000D6477">
        <w:t xml:space="preserve">container, </w:t>
      </w:r>
      <w:r w:rsidR="00C0798E" w:rsidRPr="000D6477">
        <w:t xml:space="preserve">the medicinal product </w:t>
      </w:r>
      <w:r>
        <w:t xml:space="preserve">should be used </w:t>
      </w:r>
      <w:r w:rsidR="00C0798E" w:rsidRPr="000D6477">
        <w:t>according to the shelf life.</w:t>
      </w:r>
      <w:r w:rsidR="00C0798E">
        <w:rPr>
          <w:color w:val="858787"/>
          <w:sz w:val="22"/>
        </w:rPr>
        <w:t xml:space="preserve"> </w:t>
      </w:r>
      <w:r w:rsidRPr="00B97AE6">
        <w:t>After reconstitution in water</w:t>
      </w:r>
      <w:r w:rsidR="00C0798E">
        <w:t>, use the solution within 24 hours.</w:t>
      </w:r>
    </w:p>
    <w:p w:rsidR="002B0397" w:rsidRDefault="000D6477" w:rsidP="005A4B67">
      <w:pPr>
        <w:pStyle w:val="1"/>
        <w:spacing w:before="43" w:line="288" w:lineRule="auto"/>
        <w:ind w:right="5050" w:hanging="8"/>
      </w:pPr>
      <w:r>
        <w:t xml:space="preserve">For </w:t>
      </w:r>
      <w:proofErr w:type="spellStart"/>
      <w:r>
        <w:t>veterinaty</w:t>
      </w:r>
      <w:proofErr w:type="spellEnd"/>
      <w:r>
        <w:t xml:space="preserve"> use only</w:t>
      </w:r>
      <w:r w:rsidR="00C0798E">
        <w:t>!</w:t>
      </w:r>
      <w:r w:rsidR="00C0798E">
        <w:rPr>
          <w:color w:val="5D6262"/>
          <w:w w:val="105"/>
        </w:rPr>
        <w:t xml:space="preserve"> </w:t>
      </w:r>
    </w:p>
    <w:p w:rsidR="002B0397" w:rsidRDefault="00C0798E">
      <w:pPr>
        <w:pStyle w:val="1"/>
        <w:spacing w:before="0" w:line="260" w:lineRule="exact"/>
      </w:pPr>
      <w:r>
        <w:rPr>
          <w:color w:val="464B4B"/>
        </w:rPr>
        <w:t>Manufacturer of the finished product:</w:t>
      </w:r>
    </w:p>
    <w:p w:rsidR="002B0397" w:rsidRPr="0099036C" w:rsidRDefault="00C0798E">
      <w:pPr>
        <w:pStyle w:val="a3"/>
        <w:spacing w:before="11"/>
        <w:ind w:left="653"/>
        <w:rPr>
          <w:sz w:val="22"/>
          <w:szCs w:val="22"/>
        </w:rPr>
      </w:pPr>
      <w:r>
        <w:t>PJSC «Technolog»</w:t>
      </w:r>
    </w:p>
    <w:p w:rsidR="002B0397" w:rsidRPr="0099036C" w:rsidRDefault="00C0798E">
      <w:pPr>
        <w:pStyle w:val="a3"/>
        <w:spacing w:before="10" w:line="254" w:lineRule="auto"/>
        <w:ind w:left="654" w:right="2091" w:hanging="2"/>
        <w:rPr>
          <w:sz w:val="22"/>
          <w:szCs w:val="22"/>
        </w:rPr>
      </w:pPr>
      <w:r>
        <w:t xml:space="preserve">8, Stara prorizna Str., </w:t>
      </w:r>
      <w:proofErr w:type="spellStart"/>
      <w:r>
        <w:t>Uman</w:t>
      </w:r>
      <w:proofErr w:type="spellEnd"/>
      <w:r>
        <w:t xml:space="preserve">, Cherkassy </w:t>
      </w:r>
      <w:r w:rsidR="000D6477">
        <w:t>oblast</w:t>
      </w:r>
      <w:r>
        <w:t>, 20300, Ukraine</w:t>
      </w:r>
    </w:p>
    <w:sectPr w:rsidR="002B0397" w:rsidRPr="0099036C" w:rsidSect="007F370C">
      <w:headerReference w:type="default" r:id="rId7"/>
      <w:pgSz w:w="11900" w:h="16840"/>
      <w:pgMar w:top="1340" w:right="400" w:bottom="280" w:left="1060" w:header="81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74E" w:rsidRDefault="00AB574E">
      <w:r>
        <w:separator/>
      </w:r>
    </w:p>
  </w:endnote>
  <w:endnote w:type="continuationSeparator" w:id="0">
    <w:p w:rsidR="00AB574E" w:rsidRDefault="00AB57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74E" w:rsidRDefault="00AB574E">
      <w:r>
        <w:separator/>
      </w:r>
    </w:p>
  </w:footnote>
  <w:footnote w:type="continuationSeparator" w:id="0">
    <w:p w:rsidR="00AB574E" w:rsidRDefault="00AB57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397" w:rsidRDefault="00540545">
    <w:pPr>
      <w:pStyle w:val="a3"/>
      <w:spacing w:line="14" w:lineRule="auto"/>
      <w:rPr>
        <w:sz w:val="20"/>
      </w:rPr>
    </w:pPr>
    <w:r w:rsidRPr="0054054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327.25pt;margin-top:40.2pt;width:244.4pt;height:27.9pt;z-index:-36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cMJrwIAAKk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" filled="f" stroked="f">
          <v:textbox inset="0,0,0,0">
            <w:txbxContent>
              <w:p w:rsidR="008B10E8" w:rsidRDefault="00C0798E" w:rsidP="008B10E8">
                <w:pPr>
                  <w:pStyle w:val="a3"/>
                  <w:spacing w:before="10"/>
                  <w:ind w:left="20"/>
                  <w:jc w:val="right"/>
                </w:pPr>
                <w:r>
                  <w:t xml:space="preserve"> Annex 2 </w:t>
                </w:r>
              </w:p>
              <w:p w:rsidR="002B0397" w:rsidRDefault="00C0798E" w:rsidP="008B10E8">
                <w:pPr>
                  <w:pStyle w:val="a3"/>
                  <w:spacing w:before="10"/>
                  <w:ind w:left="20"/>
                  <w:jc w:val="right"/>
                </w:pPr>
                <w:proofErr w:type="gramStart"/>
                <w:r>
                  <w:t>to</w:t>
                </w:r>
                <w:proofErr w:type="gramEnd"/>
                <w:r>
                  <w:t xml:space="preserve"> the </w:t>
                </w:r>
                <w:r w:rsidR="00105848">
                  <w:t>Marketing Authorization</w:t>
                </w:r>
                <w:r>
                  <w:t xml:space="preserve"> АВ-07070-01-17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397" w:rsidRDefault="00540545">
    <w:pPr>
      <w:pStyle w:val="a3"/>
      <w:spacing w:line="14" w:lineRule="auto"/>
      <w:rPr>
        <w:sz w:val="20"/>
      </w:rPr>
    </w:pPr>
    <w:r w:rsidRPr="0054054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326.65pt;margin-top:39.6pt;width:244.1pt;height:28.5pt;z-index:-36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" filled="f" stroked="f">
          <v:textbox inset="0,0,0,0">
            <w:txbxContent>
              <w:p w:rsidR="008B10E8" w:rsidRDefault="00C0798E" w:rsidP="008B10E8">
                <w:pPr>
                  <w:pStyle w:val="a3"/>
                  <w:spacing w:before="10" w:line="249" w:lineRule="auto"/>
                  <w:ind w:left="20" w:right="1"/>
                  <w:jc w:val="right"/>
                </w:pPr>
                <w:r>
                  <w:t xml:space="preserve">Continuation of the Annex 2 </w:t>
                </w:r>
              </w:p>
              <w:p w:rsidR="002B0397" w:rsidRDefault="00C0798E" w:rsidP="008B10E8">
                <w:pPr>
                  <w:pStyle w:val="a3"/>
                  <w:spacing w:before="10" w:line="249" w:lineRule="auto"/>
                  <w:ind w:left="20" w:right="1"/>
                  <w:jc w:val="right"/>
                </w:pPr>
                <w:proofErr w:type="gramStart"/>
                <w:r>
                  <w:t>to</w:t>
                </w:r>
                <w:proofErr w:type="gramEnd"/>
                <w:r>
                  <w:t xml:space="preserve"> the </w:t>
                </w:r>
                <w:r w:rsidR="00105848">
                  <w:t>Marketing Authorization</w:t>
                </w:r>
                <w:r>
                  <w:t xml:space="preserve"> АВ-07070-01-17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2B0397"/>
    <w:rsid w:val="000D6477"/>
    <w:rsid w:val="00105848"/>
    <w:rsid w:val="00246D68"/>
    <w:rsid w:val="002B0397"/>
    <w:rsid w:val="004E6155"/>
    <w:rsid w:val="00540545"/>
    <w:rsid w:val="005A4B67"/>
    <w:rsid w:val="005C78D5"/>
    <w:rsid w:val="00683EF0"/>
    <w:rsid w:val="006F4E25"/>
    <w:rsid w:val="007D5D43"/>
    <w:rsid w:val="007F370C"/>
    <w:rsid w:val="008B10E8"/>
    <w:rsid w:val="00904532"/>
    <w:rsid w:val="0099036C"/>
    <w:rsid w:val="00A54381"/>
    <w:rsid w:val="00A930AA"/>
    <w:rsid w:val="00AB574E"/>
    <w:rsid w:val="00B72922"/>
    <w:rsid w:val="00BE159C"/>
    <w:rsid w:val="00C0798E"/>
    <w:rsid w:val="00C630E6"/>
    <w:rsid w:val="00DF0B83"/>
    <w:rsid w:val="00E71459"/>
    <w:rsid w:val="00F20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370C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7F370C"/>
    <w:pPr>
      <w:spacing w:before="16"/>
      <w:ind w:left="653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37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F370C"/>
    <w:rPr>
      <w:sz w:val="23"/>
      <w:szCs w:val="23"/>
    </w:rPr>
  </w:style>
  <w:style w:type="paragraph" w:styleId="a4">
    <w:name w:val="List Paragraph"/>
    <w:basedOn w:val="a"/>
    <w:uiPriority w:val="1"/>
    <w:qFormat/>
    <w:rsid w:val="007F370C"/>
  </w:style>
  <w:style w:type="paragraph" w:customStyle="1" w:styleId="TableParagraph">
    <w:name w:val="Table Paragraph"/>
    <w:basedOn w:val="a"/>
    <w:uiPriority w:val="1"/>
    <w:qFormat/>
    <w:rsid w:val="007F370C"/>
  </w:style>
  <w:style w:type="paragraph" w:styleId="a5">
    <w:name w:val="header"/>
    <w:basedOn w:val="a"/>
    <w:link w:val="a6"/>
    <w:uiPriority w:val="99"/>
    <w:unhideWhenUsed/>
    <w:rsid w:val="005A4B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A4B67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5A4B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A4B67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 В. Михайлова</dc:creator>
  <cp:lastModifiedBy>Шульженко</cp:lastModifiedBy>
  <cp:revision>6</cp:revision>
  <dcterms:created xsi:type="dcterms:W3CDTF">2018-12-07T12:44:00Z</dcterms:created>
  <dcterms:modified xsi:type="dcterms:W3CDTF">2019-02-22T14:04:00Z</dcterms:modified>
</cp:coreProperties>
</file>