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83" w:rsidRPr="00EE5088" w:rsidRDefault="00EE5088">
      <w:pPr>
        <w:jc w:val="center"/>
        <w:rPr>
          <w:rFonts w:eastAsia="Calibri"/>
          <w:b/>
          <w:bCs/>
        </w:rPr>
      </w:pPr>
      <w:r>
        <w:rPr>
          <w:b/>
        </w:rPr>
        <w:t>ENRO-10%</w:t>
      </w:r>
    </w:p>
    <w:p w:rsidR="005E6583" w:rsidRPr="00EE5088" w:rsidRDefault="00EE5088">
      <w:pPr>
        <w:jc w:val="center"/>
        <w:rPr>
          <w:rFonts w:eastAsia="Calibri"/>
          <w:b/>
          <w:bCs/>
        </w:rPr>
      </w:pPr>
      <w:r>
        <w:rPr>
          <w:b/>
        </w:rPr>
        <w:t>(</w:t>
      </w:r>
      <w:proofErr w:type="gramStart"/>
      <w:r>
        <w:rPr>
          <w:b/>
        </w:rPr>
        <w:t>solution</w:t>
      </w:r>
      <w:proofErr w:type="gramEnd"/>
      <w:r>
        <w:rPr>
          <w:b/>
        </w:rPr>
        <w:t xml:space="preserve"> for oral administration)</w:t>
      </w:r>
    </w:p>
    <w:p w:rsidR="005E6583" w:rsidRPr="00EE5088" w:rsidRDefault="00EE5088">
      <w:pPr>
        <w:jc w:val="center"/>
        <w:rPr>
          <w:rFonts w:eastAsia="Calibri"/>
          <w:bCs/>
        </w:rPr>
      </w:pPr>
      <w:proofErr w:type="gramStart"/>
      <w:r>
        <w:t>package</w:t>
      </w:r>
      <w:proofErr w:type="gramEnd"/>
      <w:r>
        <w:t xml:space="preserve"> insert</w:t>
      </w:r>
    </w:p>
    <w:p w:rsidR="005E6583" w:rsidRPr="00EE5088" w:rsidRDefault="005E6583">
      <w:pPr>
        <w:jc w:val="center"/>
        <w:rPr>
          <w:rFonts w:eastAsia="Calibri"/>
          <w:bCs/>
        </w:rPr>
      </w:pPr>
    </w:p>
    <w:p w:rsidR="005E6583" w:rsidRPr="00EE5088" w:rsidRDefault="005E6583" w:rsidP="00EE5088">
      <w:pPr>
        <w:ind w:right="142" w:firstLine="567"/>
        <w:jc w:val="both"/>
        <w:rPr>
          <w:rFonts w:eastAsia="Calibri"/>
          <w:b/>
          <w:bCs/>
        </w:rPr>
      </w:pPr>
      <w:r>
        <w:rPr>
          <w:b/>
        </w:rPr>
        <w:t>Description</w:t>
      </w:r>
    </w:p>
    <w:p w:rsidR="005E6583" w:rsidRPr="00EE5088" w:rsidRDefault="005E6583" w:rsidP="005F74BE">
      <w:pPr>
        <w:ind w:right="142" w:firstLine="567"/>
        <w:jc w:val="both"/>
        <w:rPr>
          <w:rFonts w:eastAsia="Calibri"/>
          <w:bCs/>
        </w:rPr>
      </w:pPr>
      <w:proofErr w:type="gramStart"/>
      <w:r>
        <w:t>Clear solution from light yellow to dark yellow color.</w:t>
      </w:r>
      <w:proofErr w:type="gramEnd"/>
    </w:p>
    <w:p w:rsidR="005E6583" w:rsidRPr="00EE5088" w:rsidRDefault="005E6583" w:rsidP="005F74BE">
      <w:pPr>
        <w:ind w:right="142" w:firstLine="567"/>
        <w:jc w:val="both"/>
        <w:rPr>
          <w:rFonts w:eastAsia="Calibri"/>
          <w:b/>
          <w:bCs/>
        </w:rPr>
      </w:pPr>
      <w:r>
        <w:rPr>
          <w:b/>
        </w:rPr>
        <w:t>Ingredients:</w:t>
      </w:r>
    </w:p>
    <w:p w:rsidR="005E6583" w:rsidRPr="00EE5088" w:rsidRDefault="005E6583" w:rsidP="00EE5088">
      <w:pPr>
        <w:spacing w:line="259" w:lineRule="auto"/>
        <w:ind w:right="142" w:firstLine="567"/>
        <w:rPr>
          <w:rFonts w:eastAsia="Calibri"/>
        </w:rPr>
      </w:pPr>
      <w:r>
        <w:t>1 ml of the solution contains the active ingredient:</w:t>
      </w:r>
    </w:p>
    <w:p w:rsidR="005E6583" w:rsidRPr="00EE5088" w:rsidRDefault="00CF47AF" w:rsidP="00EE5088">
      <w:pPr>
        <w:spacing w:line="259" w:lineRule="auto"/>
        <w:ind w:right="142" w:firstLine="567"/>
        <w:rPr>
          <w:rFonts w:eastAsia="Calibri"/>
        </w:rPr>
      </w:pPr>
      <w:proofErr w:type="gramStart"/>
      <w:r>
        <w:t xml:space="preserve">100 mg </w:t>
      </w:r>
      <w:proofErr w:type="spellStart"/>
      <w:r w:rsidR="005E6583">
        <w:t>Enrofloxacin</w:t>
      </w:r>
      <w:proofErr w:type="spellEnd"/>
      <w:r w:rsidR="005E6583">
        <w:t>.</w:t>
      </w:r>
      <w:proofErr w:type="gramEnd"/>
    </w:p>
    <w:p w:rsidR="005E6583" w:rsidRPr="00EE5088" w:rsidRDefault="005E6583" w:rsidP="00EE5088">
      <w:pPr>
        <w:spacing w:line="259" w:lineRule="auto"/>
        <w:ind w:right="142" w:firstLine="567"/>
        <w:rPr>
          <w:rFonts w:eastAsia="Calibri"/>
        </w:rPr>
      </w:pPr>
      <w:r>
        <w:t>Exc</w:t>
      </w:r>
      <w:r w:rsidR="005F74BE">
        <w:t>i</w:t>
      </w:r>
      <w:r>
        <w:t>pients: butyl alcohol, potassium hydroxide, purified water</w:t>
      </w:r>
    </w:p>
    <w:p w:rsidR="005E6583" w:rsidRPr="00EE5088" w:rsidRDefault="005E6583" w:rsidP="005F74BE">
      <w:pPr>
        <w:spacing w:line="259" w:lineRule="auto"/>
        <w:ind w:right="142" w:firstLineChars="235" w:firstLine="566"/>
        <w:rPr>
          <w:rFonts w:eastAsia="Calibri"/>
          <w:b/>
        </w:rPr>
      </w:pPr>
      <w:r>
        <w:rPr>
          <w:b/>
        </w:rPr>
        <w:t>Pharmacological properties</w:t>
      </w:r>
    </w:p>
    <w:p w:rsidR="00EF3BCD" w:rsidRDefault="00EF3BCD" w:rsidP="00EF3BCD">
      <w:pPr>
        <w:ind w:firstLine="567"/>
        <w:jc w:val="both"/>
      </w:pPr>
      <w:proofErr w:type="spellStart"/>
      <w:r>
        <w:t>ATC</w:t>
      </w:r>
      <w:proofErr w:type="spellEnd"/>
      <w:r>
        <w:t xml:space="preserve"> vet code is QJ01 – antimicrobial veterinary products for systemic use. QJ01МA90 – </w:t>
      </w:r>
      <w:proofErr w:type="spellStart"/>
      <w:r>
        <w:t>Enrofloxacin</w:t>
      </w:r>
      <w:proofErr w:type="spellEnd"/>
      <w:r>
        <w:t>.</w:t>
      </w:r>
    </w:p>
    <w:p w:rsidR="00EF3BCD" w:rsidRPr="003C1550" w:rsidRDefault="00EF3BCD" w:rsidP="00EF3BCD">
      <w:pPr>
        <w:ind w:firstLine="567"/>
        <w:jc w:val="both"/>
        <w:rPr>
          <w:i/>
        </w:rPr>
      </w:pPr>
      <w:proofErr w:type="spellStart"/>
      <w:r>
        <w:t>Enrofloxacin</w:t>
      </w:r>
      <w:proofErr w:type="spellEnd"/>
      <w:r>
        <w:t xml:space="preserve"> has a bactericidal action on gram-negative and gram-positive microorganisms: </w:t>
      </w:r>
      <w:r>
        <w:rPr>
          <w:i/>
        </w:rPr>
        <w:t xml:space="preserve">Escherichia coli, Salmonella spp., </w:t>
      </w:r>
      <w:proofErr w:type="spellStart"/>
      <w:r>
        <w:rPr>
          <w:i/>
        </w:rPr>
        <w:t>Klebsiella</w:t>
      </w:r>
      <w:proofErr w:type="spellEnd"/>
      <w:r>
        <w:rPr>
          <w:i/>
        </w:rPr>
        <w:t xml:space="preserve"> spp., </w:t>
      </w:r>
      <w:proofErr w:type="spellStart"/>
      <w:r>
        <w:rPr>
          <w:i/>
        </w:rPr>
        <w:t>Haemophilus</w:t>
      </w:r>
      <w:proofErr w:type="spellEnd"/>
      <w:r>
        <w:rPr>
          <w:i/>
        </w:rPr>
        <w:t xml:space="preserve"> spp., </w:t>
      </w:r>
      <w:proofErr w:type="spellStart"/>
      <w:r>
        <w:rPr>
          <w:i/>
        </w:rPr>
        <w:t>Pasteurella</w:t>
      </w:r>
      <w:proofErr w:type="spellEnd"/>
      <w:r>
        <w:rPr>
          <w:i/>
        </w:rPr>
        <w:t xml:space="preserve"> spp., Clostridium spp., </w:t>
      </w:r>
      <w:proofErr w:type="spellStart"/>
      <w:r>
        <w:rPr>
          <w:i/>
        </w:rPr>
        <w:t>Bordetella</w:t>
      </w:r>
      <w:proofErr w:type="spellEnd"/>
      <w:r>
        <w:rPr>
          <w:i/>
        </w:rPr>
        <w:t xml:space="preserve"> spp., Streptococcus spp., Staphylococcus spp., </w:t>
      </w:r>
      <w:proofErr w:type="spellStart"/>
      <w:r>
        <w:rPr>
          <w:i/>
        </w:rPr>
        <w:t>Listeria</w:t>
      </w:r>
      <w:proofErr w:type="spellEnd"/>
      <w:r>
        <w:rPr>
          <w:i/>
        </w:rPr>
        <w:t xml:space="preserve"> </w:t>
      </w:r>
      <w:proofErr w:type="spellStart"/>
      <w:r>
        <w:rPr>
          <w:i/>
        </w:rPr>
        <w:t>monocytogenes</w:t>
      </w:r>
      <w:proofErr w:type="spellEnd"/>
      <w:r>
        <w:rPr>
          <w:i/>
        </w:rPr>
        <w:t xml:space="preserve">, </w:t>
      </w:r>
      <w:proofErr w:type="spellStart"/>
      <w:r>
        <w:rPr>
          <w:i/>
        </w:rPr>
        <w:t>Corynebacterium</w:t>
      </w:r>
      <w:proofErr w:type="spellEnd"/>
      <w:r>
        <w:rPr>
          <w:i/>
        </w:rPr>
        <w:t xml:space="preserve"> spp. </w:t>
      </w:r>
      <w:r>
        <w:t xml:space="preserve">and others, as well as on </w:t>
      </w:r>
      <w:proofErr w:type="spellStart"/>
      <w:r>
        <w:t>mycoplasms</w:t>
      </w:r>
      <w:proofErr w:type="spellEnd"/>
      <w:r>
        <w:t xml:space="preserve"> </w:t>
      </w:r>
      <w:r w:rsidRPr="005F74BE">
        <w:rPr>
          <w:i/>
        </w:rPr>
        <w:t>(</w:t>
      </w:r>
      <w:proofErr w:type="spellStart"/>
      <w:r w:rsidRPr="005F74BE">
        <w:rPr>
          <w:i/>
        </w:rPr>
        <w:t>Mycoplasma</w:t>
      </w:r>
      <w:proofErr w:type="spellEnd"/>
      <w:r w:rsidRPr="005F74BE">
        <w:rPr>
          <w:i/>
        </w:rPr>
        <w:t xml:space="preserve"> spp.)</w:t>
      </w:r>
      <w:r>
        <w:t>.</w:t>
      </w:r>
    </w:p>
    <w:p w:rsidR="00EF3BCD" w:rsidRPr="003C1550" w:rsidRDefault="00EF3BCD" w:rsidP="00EF3BCD">
      <w:pPr>
        <w:ind w:firstLine="567"/>
        <w:jc w:val="both"/>
      </w:pPr>
      <w:r>
        <w:t>The mode of bactericidal action is associated with inhibition of the subunit A of DNA-</w:t>
      </w:r>
      <w:proofErr w:type="spellStart"/>
      <w:r>
        <w:t>gidrazy</w:t>
      </w:r>
      <w:proofErr w:type="spellEnd"/>
      <w:r>
        <w:t xml:space="preserve"> (</w:t>
      </w:r>
      <w:proofErr w:type="spellStart"/>
      <w:r>
        <w:t>topoisomerase</w:t>
      </w:r>
      <w:proofErr w:type="spellEnd"/>
      <w:r>
        <w:t xml:space="preserve"> II) bacteri</w:t>
      </w:r>
      <w:r w:rsidR="005F74BE">
        <w:t>um</w:t>
      </w:r>
      <w:r>
        <w:t xml:space="preserve"> that blocks the process of </w:t>
      </w:r>
      <w:proofErr w:type="spellStart"/>
      <w:r>
        <w:t>supercoiling</w:t>
      </w:r>
      <w:proofErr w:type="spellEnd"/>
      <w:r>
        <w:t xml:space="preserve"> of the DNA molecule. In gram-positive bacteria this process influences on </w:t>
      </w:r>
      <w:proofErr w:type="spellStart"/>
      <w:r>
        <w:t>topoisomerase</w:t>
      </w:r>
      <w:proofErr w:type="spellEnd"/>
      <w:r>
        <w:t xml:space="preserve"> IV, but not on </w:t>
      </w:r>
      <w:proofErr w:type="spellStart"/>
      <w:r>
        <w:t>topoisomerase</w:t>
      </w:r>
      <w:proofErr w:type="spellEnd"/>
      <w:r>
        <w:t xml:space="preserve"> II. At the same time reproduction, transcription and recombination processes in a DNA </w:t>
      </w:r>
      <w:r w:rsidR="005F74BE">
        <w:t xml:space="preserve">bacterium </w:t>
      </w:r>
      <w:r>
        <w:t xml:space="preserve">are blocked. </w:t>
      </w:r>
      <w:proofErr w:type="spellStart"/>
      <w:r>
        <w:t>Enrofloxacin</w:t>
      </w:r>
      <w:proofErr w:type="spellEnd"/>
      <w:r>
        <w:t xml:space="preserve"> also affects the stationary phase of the bacterium, changing the </w:t>
      </w:r>
      <w:proofErr w:type="spellStart"/>
      <w:r>
        <w:t>phospholipid</w:t>
      </w:r>
      <w:proofErr w:type="spellEnd"/>
      <w:r>
        <w:t xml:space="preserve"> permeability of the outer membrane of the cell wall.</w:t>
      </w:r>
    </w:p>
    <w:p w:rsidR="00EF3BCD" w:rsidRPr="00D95D07" w:rsidRDefault="00EF3BCD" w:rsidP="00EF3BCD">
      <w:pPr>
        <w:ind w:firstLine="567"/>
        <w:jc w:val="both"/>
      </w:pPr>
      <w:r>
        <w:t xml:space="preserve">After oral administration of </w:t>
      </w:r>
      <w:proofErr w:type="spellStart"/>
      <w:r>
        <w:t>Enrofloxacin</w:t>
      </w:r>
      <w:proofErr w:type="spellEnd"/>
      <w:r>
        <w:t xml:space="preserve"> in chickens and turkeys the maximum concentration is reached in 0.5–2.5 hours. Maximum concentration after the therapeutic dose is 1 – 2.5 </w:t>
      </w:r>
      <w:proofErr w:type="spellStart"/>
      <w:r>
        <w:t>mkg</w:t>
      </w:r>
      <w:proofErr w:type="spellEnd"/>
      <w:r>
        <w:t>/ml.</w:t>
      </w:r>
    </w:p>
    <w:p w:rsidR="00EF3BCD" w:rsidRPr="00D95D07" w:rsidRDefault="00EF3BCD" w:rsidP="00EF3BCD">
      <w:pPr>
        <w:ind w:firstLine="567"/>
        <w:jc w:val="both"/>
      </w:pPr>
      <w:proofErr w:type="spellStart"/>
      <w:r>
        <w:t>Fluoroquinolones</w:t>
      </w:r>
      <w:proofErr w:type="spellEnd"/>
      <w:r>
        <w:t xml:space="preserve"> penetrate well into biological fluids and body tissues, where they reach higher concentration than in plasma. In addition, they penetrate into skin, bone tissue and sperm, reach ocular anterior and posterior chamber, penetrate through the placenta and the blood-brain barrier. </w:t>
      </w:r>
      <w:proofErr w:type="spellStart"/>
      <w:r>
        <w:t>Fluoroquinolones</w:t>
      </w:r>
      <w:proofErr w:type="spellEnd"/>
      <w:r>
        <w:t xml:space="preserve"> are also cumulated in phagocytes (alveolar macrophages and </w:t>
      </w:r>
      <w:proofErr w:type="spellStart"/>
      <w:r>
        <w:t>neutrophils</w:t>
      </w:r>
      <w:proofErr w:type="spellEnd"/>
      <w:r>
        <w:t>), and thus they are effective against intracellular microorganisms.</w:t>
      </w:r>
    </w:p>
    <w:p w:rsidR="00EF3BCD" w:rsidRPr="00D95D07" w:rsidRDefault="00EF3BCD" w:rsidP="00EF3BCD">
      <w:pPr>
        <w:ind w:firstLine="567"/>
        <w:jc w:val="both"/>
      </w:pPr>
      <w:r>
        <w:t xml:space="preserve">Metabolic rate </w:t>
      </w:r>
      <w:r w:rsidR="005F74BE">
        <w:t xml:space="preserve">is 50-60% and it </w:t>
      </w:r>
      <w:r>
        <w:t xml:space="preserve">varies depending on the type of an animal. </w:t>
      </w:r>
      <w:proofErr w:type="spellStart"/>
      <w:r>
        <w:t>Enrofloxacin</w:t>
      </w:r>
      <w:proofErr w:type="spellEnd"/>
      <w:r>
        <w:t xml:space="preserve"> is </w:t>
      </w:r>
      <w:proofErr w:type="spellStart"/>
      <w:r>
        <w:t>biotransformed</w:t>
      </w:r>
      <w:proofErr w:type="spellEnd"/>
      <w:r>
        <w:t xml:space="preserve"> in the liver through </w:t>
      </w:r>
      <w:proofErr w:type="spellStart"/>
      <w:r>
        <w:t>hydroxydation</w:t>
      </w:r>
      <w:proofErr w:type="spellEnd"/>
      <w:r>
        <w:t xml:space="preserve"> and oxidative processes in </w:t>
      </w:r>
      <w:proofErr w:type="spellStart"/>
      <w:r>
        <w:t>oxo-fluoroquinolones</w:t>
      </w:r>
      <w:proofErr w:type="spellEnd"/>
      <w:r>
        <w:t>, and the active metabolite is ciprofloxacin. Other reactions involved are N-</w:t>
      </w:r>
      <w:proofErr w:type="spellStart"/>
      <w:r>
        <w:t>dealkylation</w:t>
      </w:r>
      <w:proofErr w:type="spellEnd"/>
      <w:r>
        <w:t xml:space="preserve"> and conjugation with </w:t>
      </w:r>
      <w:proofErr w:type="spellStart"/>
      <w:r>
        <w:t>Glucuronic</w:t>
      </w:r>
      <w:proofErr w:type="spellEnd"/>
      <w:r>
        <w:t xml:space="preserve"> acid.</w:t>
      </w:r>
    </w:p>
    <w:p w:rsidR="005E6583" w:rsidRPr="00EE5088" w:rsidRDefault="00EF3BCD" w:rsidP="00EF3BCD">
      <w:pPr>
        <w:spacing w:line="259" w:lineRule="auto"/>
        <w:ind w:right="142" w:firstLine="567"/>
        <w:jc w:val="both"/>
        <w:rPr>
          <w:rFonts w:eastAsia="Calibri"/>
        </w:rPr>
      </w:pPr>
      <w:r>
        <w:t xml:space="preserve">It is excreted from the body in </w:t>
      </w:r>
      <w:r w:rsidR="005F74BE">
        <w:t xml:space="preserve">the </w:t>
      </w:r>
      <w:r>
        <w:t xml:space="preserve">bile and to a greater extent with kidneys. Urinary excretion goes through </w:t>
      </w:r>
      <w:proofErr w:type="spellStart"/>
      <w:r>
        <w:t>glomerular</w:t>
      </w:r>
      <w:proofErr w:type="spellEnd"/>
      <w:r>
        <w:t xml:space="preserve"> filtration and tubular secretion.</w:t>
      </w:r>
    </w:p>
    <w:p w:rsidR="005E6583" w:rsidRPr="00EE5088" w:rsidRDefault="005E6583" w:rsidP="00EE5088">
      <w:pPr>
        <w:spacing w:line="259" w:lineRule="auto"/>
        <w:ind w:right="142" w:firstLine="567"/>
        <w:jc w:val="both"/>
        <w:rPr>
          <w:rFonts w:eastAsia="Calibri"/>
          <w:b/>
        </w:rPr>
      </w:pPr>
      <w:r>
        <w:rPr>
          <w:b/>
        </w:rPr>
        <w:t>Indications for use</w:t>
      </w:r>
    </w:p>
    <w:p w:rsidR="005E6583" w:rsidRPr="00EE5088" w:rsidRDefault="00EE5088" w:rsidP="00EE5088">
      <w:pPr>
        <w:spacing w:line="259" w:lineRule="auto"/>
        <w:ind w:right="142" w:firstLine="567"/>
        <w:jc w:val="both"/>
        <w:rPr>
          <w:rFonts w:eastAsia="Calibri"/>
        </w:rPr>
      </w:pPr>
      <w:r>
        <w:t>Poultry (chickens, chickens of breeding stock, broilers, turkeys):</w:t>
      </w:r>
      <w:r>
        <w:rPr>
          <w:i/>
        </w:rPr>
        <w:t xml:space="preserve"> </w:t>
      </w:r>
      <w:r>
        <w:t xml:space="preserve">treatment of poultry with </w:t>
      </w:r>
      <w:proofErr w:type="spellStart"/>
      <w:r>
        <w:t>mycoplasmosis</w:t>
      </w:r>
      <w:proofErr w:type="spellEnd"/>
      <w:r>
        <w:t>, chronic respiratory infections (</w:t>
      </w:r>
      <w:proofErr w:type="spellStart"/>
      <w:r>
        <w:t>CRD</w:t>
      </w:r>
      <w:proofErr w:type="spellEnd"/>
      <w:r>
        <w:t xml:space="preserve">), </w:t>
      </w:r>
      <w:proofErr w:type="spellStart"/>
      <w:r>
        <w:t>colibacillosis</w:t>
      </w:r>
      <w:proofErr w:type="spellEnd"/>
      <w:r>
        <w:t xml:space="preserve">, </w:t>
      </w:r>
      <w:proofErr w:type="spellStart"/>
      <w:r>
        <w:t>pasteurellosis</w:t>
      </w:r>
      <w:proofErr w:type="spellEnd"/>
      <w:r>
        <w:t xml:space="preserve">, salmonella, </w:t>
      </w:r>
      <w:proofErr w:type="spellStart"/>
      <w:r>
        <w:t>staphylococcosis</w:t>
      </w:r>
      <w:proofErr w:type="spellEnd"/>
      <w:r>
        <w:t xml:space="preserve"> and </w:t>
      </w:r>
      <w:proofErr w:type="spellStart"/>
      <w:r>
        <w:t>campylobacteriosis</w:t>
      </w:r>
      <w:proofErr w:type="spellEnd"/>
      <w:r>
        <w:t xml:space="preserve">, caused by microorganisms sensitive to </w:t>
      </w:r>
      <w:proofErr w:type="spellStart"/>
      <w:r>
        <w:t>Enrofloxacin</w:t>
      </w:r>
      <w:proofErr w:type="spellEnd"/>
      <w:r>
        <w:t>.</w:t>
      </w:r>
    </w:p>
    <w:p w:rsidR="005E6583" w:rsidRPr="00EE5088" w:rsidRDefault="005E6583" w:rsidP="00EE5088">
      <w:pPr>
        <w:spacing w:line="276" w:lineRule="auto"/>
        <w:ind w:right="142" w:firstLine="567"/>
        <w:rPr>
          <w:rFonts w:eastAsia="Calibri"/>
          <w:b/>
        </w:rPr>
      </w:pPr>
      <w:r>
        <w:rPr>
          <w:b/>
        </w:rPr>
        <w:t>Dosage</w:t>
      </w:r>
    </w:p>
    <w:p w:rsidR="00EE5088" w:rsidRDefault="00EE5088" w:rsidP="00EE5088">
      <w:pPr>
        <w:ind w:firstLine="567"/>
        <w:jc w:val="both"/>
      </w:pPr>
      <w:r>
        <w:t xml:space="preserve">Orally with </w:t>
      </w:r>
      <w:r w:rsidR="005F74BE">
        <w:t>drinking</w:t>
      </w:r>
      <w:r>
        <w:t xml:space="preserve"> water in a dose of 50 ml of </w:t>
      </w:r>
      <w:proofErr w:type="spellStart"/>
      <w:r>
        <w:t>Enrofloxacin</w:t>
      </w:r>
      <w:proofErr w:type="spellEnd"/>
      <w:r>
        <w:t xml:space="preserve"> per 100 l of </w:t>
      </w:r>
      <w:r w:rsidR="005F74BE">
        <w:t>drinking</w:t>
      </w:r>
      <w:r>
        <w:t xml:space="preserve"> water every day or 10 mg of </w:t>
      </w:r>
      <w:proofErr w:type="spellStart"/>
      <w:r>
        <w:t>Enrofloxacin</w:t>
      </w:r>
      <w:proofErr w:type="spellEnd"/>
      <w:r>
        <w:t xml:space="preserve"> per 1 kg of the body weigh</w:t>
      </w:r>
      <w:r w:rsidR="005F74BE">
        <w:t>t</w:t>
      </w:r>
      <w:r>
        <w:t xml:space="preserve"> during 3–5 days. The dose may be increased twice with </w:t>
      </w:r>
      <w:proofErr w:type="spellStart"/>
      <w:r>
        <w:t>salmonellosis</w:t>
      </w:r>
      <w:proofErr w:type="spellEnd"/>
      <w:r>
        <w:t xml:space="preserve"> or other serious diseases.</w:t>
      </w:r>
    </w:p>
    <w:p w:rsidR="005E6583" w:rsidRPr="00EE5088" w:rsidRDefault="005F74BE" w:rsidP="00EE5088">
      <w:pPr>
        <w:spacing w:line="276" w:lineRule="auto"/>
        <w:ind w:right="142" w:firstLine="567"/>
        <w:jc w:val="both"/>
      </w:pPr>
      <w:r>
        <w:t>Prepare s</w:t>
      </w:r>
      <w:r w:rsidR="00EE5088">
        <w:t xml:space="preserve">olution based on calculations of the day water consumption of poultry. In the course of the treatment poultry should get only water containing the </w:t>
      </w:r>
      <w:r w:rsidR="00CF47AF">
        <w:t>medication</w:t>
      </w:r>
      <w:r w:rsidR="00EE5088">
        <w:t>.</w:t>
      </w:r>
    </w:p>
    <w:p w:rsidR="005E6583" w:rsidRPr="00EE5088" w:rsidRDefault="005E6583" w:rsidP="00EE5088">
      <w:pPr>
        <w:ind w:right="142" w:firstLine="567"/>
        <w:jc w:val="both"/>
        <w:rPr>
          <w:b/>
        </w:rPr>
      </w:pPr>
      <w:r>
        <w:rPr>
          <w:b/>
        </w:rPr>
        <w:t>Contraindications</w:t>
      </w:r>
    </w:p>
    <w:p w:rsidR="00EE5088" w:rsidRDefault="00EE5088" w:rsidP="00EE5088">
      <w:pPr>
        <w:ind w:firstLine="567"/>
        <w:jc w:val="both"/>
      </w:pPr>
      <w:r>
        <w:t xml:space="preserve">Do not use in animals highly sensitive to </w:t>
      </w:r>
      <w:proofErr w:type="spellStart"/>
      <w:r>
        <w:t>Enrofloxacin</w:t>
      </w:r>
      <w:proofErr w:type="spellEnd"/>
      <w:r>
        <w:t xml:space="preserve"> or any of the </w:t>
      </w:r>
      <w:r w:rsidR="005F74BE">
        <w:t>components</w:t>
      </w:r>
      <w:r>
        <w:t>.</w:t>
      </w:r>
    </w:p>
    <w:p w:rsidR="00EE5088" w:rsidRDefault="00EE5088" w:rsidP="00EE5088">
      <w:pPr>
        <w:ind w:firstLine="567"/>
        <w:jc w:val="both"/>
      </w:pPr>
      <w:r>
        <w:t>Do not use in laying chickens if eggs are intended for human consumption.</w:t>
      </w:r>
    </w:p>
    <w:p w:rsidR="00EE5088" w:rsidRPr="003C1550" w:rsidRDefault="00EE5088" w:rsidP="00EE5088">
      <w:pPr>
        <w:ind w:firstLine="567"/>
        <w:jc w:val="both"/>
      </w:pPr>
      <w:r>
        <w:t xml:space="preserve">Do not use </w:t>
      </w:r>
      <w:r w:rsidR="00CF47AF" w:rsidRPr="00B97AE6">
        <w:t>concomitantly</w:t>
      </w:r>
      <w:r>
        <w:t xml:space="preserve"> with tetracycline preparations, </w:t>
      </w:r>
      <w:proofErr w:type="spellStart"/>
      <w:r>
        <w:t>macrolides</w:t>
      </w:r>
      <w:proofErr w:type="spellEnd"/>
      <w:r>
        <w:t xml:space="preserve">, </w:t>
      </w:r>
      <w:proofErr w:type="spellStart"/>
      <w:r>
        <w:t>chloramphenicol</w:t>
      </w:r>
      <w:proofErr w:type="spellEnd"/>
      <w:r>
        <w:t xml:space="preserve">, </w:t>
      </w:r>
      <w:proofErr w:type="spellStart"/>
      <w:r>
        <w:t>theophylline</w:t>
      </w:r>
      <w:proofErr w:type="spellEnd"/>
      <w:r>
        <w:t xml:space="preserve">, do not mix with the </w:t>
      </w:r>
      <w:proofErr w:type="spellStart"/>
      <w:r>
        <w:t>Marek</w:t>
      </w:r>
      <w:proofErr w:type="spellEnd"/>
      <w:r>
        <w:t xml:space="preserve"> vaccine.</w:t>
      </w:r>
    </w:p>
    <w:p w:rsidR="00EE5088" w:rsidRDefault="00EE5088" w:rsidP="00EE5088">
      <w:pPr>
        <w:ind w:firstLine="567"/>
        <w:jc w:val="both"/>
      </w:pPr>
      <w:r>
        <w:t xml:space="preserve">Do not use </w:t>
      </w:r>
      <w:r w:rsidR="00CF47AF" w:rsidRPr="00B97AE6">
        <w:t>concomitantly</w:t>
      </w:r>
      <w:r>
        <w:t xml:space="preserve"> with </w:t>
      </w:r>
      <w:r w:rsidR="00CF47AF">
        <w:t>medications</w:t>
      </w:r>
      <w:r>
        <w:t xml:space="preserve"> containing </w:t>
      </w:r>
      <w:proofErr w:type="spellStart"/>
      <w:r>
        <w:t>cations</w:t>
      </w:r>
      <w:proofErr w:type="spellEnd"/>
      <w:r>
        <w:t xml:space="preserve"> Mg</w:t>
      </w:r>
      <w:r>
        <w:rPr>
          <w:vertAlign w:val="superscript"/>
        </w:rPr>
        <w:t>2+</w:t>
      </w:r>
      <w:r>
        <w:t>, Al</w:t>
      </w:r>
      <w:r>
        <w:rPr>
          <w:vertAlign w:val="superscript"/>
        </w:rPr>
        <w:t>3+</w:t>
      </w:r>
      <w:r>
        <w:t>, Ca</w:t>
      </w:r>
      <w:r>
        <w:rPr>
          <w:vertAlign w:val="superscript"/>
        </w:rPr>
        <w:t>2+</w:t>
      </w:r>
      <w:r>
        <w:t xml:space="preserve">, as this interrupts absorption of </w:t>
      </w:r>
      <w:proofErr w:type="spellStart"/>
      <w:r>
        <w:t>Enrofloxacin</w:t>
      </w:r>
      <w:proofErr w:type="spellEnd"/>
      <w:r>
        <w:t xml:space="preserve">. </w:t>
      </w:r>
    </w:p>
    <w:p w:rsidR="005E6583" w:rsidRPr="00EE5088" w:rsidRDefault="00EE5088" w:rsidP="00EE5088">
      <w:pPr>
        <w:ind w:right="142" w:firstLine="567"/>
        <w:jc w:val="both"/>
      </w:pPr>
      <w:r>
        <w:t xml:space="preserve">Do not use </w:t>
      </w:r>
      <w:r w:rsidR="00447C7E">
        <w:t xml:space="preserve">for </w:t>
      </w:r>
      <w:r w:rsidR="00447C7E">
        <w:rPr>
          <w:color w:val="131113"/>
          <w:w w:val="105"/>
          <w:sz w:val="23"/>
        </w:rPr>
        <w:t>prophylaxis</w:t>
      </w:r>
      <w:r>
        <w:t>; do not use if the resistant strains of the pathogen are detected.</w:t>
      </w:r>
    </w:p>
    <w:p w:rsidR="005E6583" w:rsidRPr="00EE5088" w:rsidRDefault="005E6583" w:rsidP="00EE5088">
      <w:pPr>
        <w:ind w:right="142" w:firstLine="567"/>
        <w:jc w:val="both"/>
        <w:rPr>
          <w:b/>
        </w:rPr>
      </w:pPr>
      <w:r>
        <w:rPr>
          <w:b/>
        </w:rPr>
        <w:lastRenderedPageBreak/>
        <w:t>Warnings and Precautions</w:t>
      </w:r>
    </w:p>
    <w:p w:rsidR="005E6583" w:rsidRPr="00EE5088" w:rsidRDefault="00EE5088" w:rsidP="00EE5088">
      <w:pPr>
        <w:ind w:right="142" w:firstLine="567"/>
        <w:jc w:val="both"/>
      </w:pPr>
      <w:r>
        <w:t xml:space="preserve">Slaughter of poultry for meat is </w:t>
      </w:r>
      <w:r w:rsidR="00CF47AF">
        <w:t>authorized</w:t>
      </w:r>
      <w:r>
        <w:t xml:space="preserve"> in 8 days after the last administration of the drug. Meat produced before the specified time </w:t>
      </w:r>
      <w:r w:rsidR="00CF47AF">
        <w:t>should be</w:t>
      </w:r>
      <w:r>
        <w:t xml:space="preserve"> disposed or fed to non-productive animals, depending on the conclusion of the veterinary physician.</w:t>
      </w:r>
    </w:p>
    <w:p w:rsidR="005E6583" w:rsidRPr="00EE5088" w:rsidRDefault="00CF47AF" w:rsidP="00EE5088">
      <w:pPr>
        <w:spacing w:line="276" w:lineRule="auto"/>
        <w:ind w:right="142" w:firstLine="567"/>
        <w:rPr>
          <w:rFonts w:eastAsia="Calibri"/>
          <w:b/>
        </w:rPr>
      </w:pPr>
      <w:r>
        <w:rPr>
          <w:b/>
        </w:rPr>
        <w:t>Packaging</w:t>
      </w:r>
    </w:p>
    <w:p w:rsidR="00EE5088" w:rsidRDefault="00CF47AF" w:rsidP="00EE5088">
      <w:pPr>
        <w:ind w:firstLine="567"/>
      </w:pPr>
      <w:r>
        <w:t>1000 ml s</w:t>
      </w:r>
      <w:r w:rsidR="00EE5088">
        <w:t>crew-</w:t>
      </w:r>
      <w:r>
        <w:t>top</w:t>
      </w:r>
      <w:r w:rsidR="00EE5088">
        <w:t xml:space="preserve"> plastic containers </w:t>
      </w:r>
      <w:bookmarkStart w:id="0" w:name="n62"/>
      <w:bookmarkEnd w:id="0"/>
    </w:p>
    <w:p w:rsidR="005E6583" w:rsidRPr="00EE5088" w:rsidRDefault="005E6583" w:rsidP="00EE5088">
      <w:pPr>
        <w:spacing w:line="276" w:lineRule="auto"/>
        <w:ind w:right="142" w:firstLine="567"/>
        <w:rPr>
          <w:rFonts w:eastAsia="Calibri"/>
          <w:b/>
        </w:rPr>
      </w:pPr>
      <w:r>
        <w:rPr>
          <w:b/>
        </w:rPr>
        <w:t>Storage</w:t>
      </w:r>
    </w:p>
    <w:p w:rsidR="005E6583" w:rsidRPr="00EE5088" w:rsidRDefault="00EE5088" w:rsidP="00EE5088">
      <w:pPr>
        <w:spacing w:line="276" w:lineRule="auto"/>
        <w:ind w:right="142" w:firstLine="567"/>
        <w:rPr>
          <w:rFonts w:eastAsia="Calibri"/>
        </w:rPr>
      </w:pPr>
      <w:r>
        <w:t>Keep away from children</w:t>
      </w:r>
      <w:r w:rsidR="005F74BE">
        <w:t xml:space="preserve">. </w:t>
      </w:r>
      <w:proofErr w:type="gramStart"/>
      <w:r w:rsidR="005F74BE">
        <w:t>Store</w:t>
      </w:r>
      <w:r>
        <w:t xml:space="preserve"> in dark place </w:t>
      </w:r>
      <w:r w:rsidR="00CF47AF">
        <w:t>at</w:t>
      </w:r>
      <w:r>
        <w:t xml:space="preserve"> temperature 5 ºС to 25 ºС.</w:t>
      </w:r>
      <w:proofErr w:type="gramEnd"/>
    </w:p>
    <w:p w:rsidR="005E6583" w:rsidRPr="00EE5088" w:rsidRDefault="005E6583" w:rsidP="00EE5088">
      <w:pPr>
        <w:spacing w:line="276" w:lineRule="auto"/>
        <w:ind w:right="142" w:firstLine="567"/>
        <w:rPr>
          <w:rFonts w:eastAsia="Calibri"/>
        </w:rPr>
      </w:pPr>
      <w:r>
        <w:t>Shelf life is 2 years.</w:t>
      </w:r>
    </w:p>
    <w:p w:rsidR="00EE5088" w:rsidRDefault="00CF47AF" w:rsidP="00EE5088">
      <w:pPr>
        <w:ind w:firstLine="567"/>
        <w:jc w:val="both"/>
      </w:pPr>
      <w:r>
        <w:t xml:space="preserve">After the first opening the product should be </w:t>
      </w:r>
      <w:r w:rsidR="00EE5088">
        <w:t>use</w:t>
      </w:r>
      <w:r w:rsidR="005F74BE">
        <w:t xml:space="preserve">d </w:t>
      </w:r>
      <w:r w:rsidR="00EE5088">
        <w:t>during 26 months, provid</w:t>
      </w:r>
      <w:r>
        <w:t>ed</w:t>
      </w:r>
      <w:r w:rsidR="00EE5088">
        <w:t xml:space="preserve"> it is kept in dark place </w:t>
      </w:r>
      <w:r>
        <w:t xml:space="preserve">at </w:t>
      </w:r>
      <w:r w:rsidR="00EE5088">
        <w:t>temperature 5 ºС to 25 ºС.</w:t>
      </w:r>
    </w:p>
    <w:p w:rsidR="005E6583" w:rsidRPr="00EE5088" w:rsidRDefault="00CF47AF" w:rsidP="00EE5088">
      <w:pPr>
        <w:spacing w:line="276" w:lineRule="auto"/>
        <w:ind w:right="142" w:firstLine="567"/>
        <w:rPr>
          <w:rFonts w:eastAsia="Calibri"/>
          <w:spacing w:val="-4"/>
        </w:rPr>
      </w:pPr>
      <w:r w:rsidRPr="00B97AE6">
        <w:t>After reconstitution in water</w:t>
      </w:r>
      <w:r w:rsidR="00EE5088">
        <w:t>, use the solution within 24 hours.</w:t>
      </w:r>
    </w:p>
    <w:p w:rsidR="005E6583" w:rsidRPr="00EE5088" w:rsidRDefault="005E6583" w:rsidP="00EE5088">
      <w:pPr>
        <w:spacing w:line="276" w:lineRule="auto"/>
        <w:ind w:right="142" w:firstLine="567"/>
        <w:rPr>
          <w:rFonts w:eastAsia="Calibri"/>
          <w:b/>
        </w:rPr>
      </w:pPr>
      <w:r>
        <w:rPr>
          <w:b/>
        </w:rPr>
        <w:t xml:space="preserve">For veterinary </w:t>
      </w:r>
      <w:r w:rsidR="005F74BE">
        <w:rPr>
          <w:b/>
        </w:rPr>
        <w:t>use only</w:t>
      </w:r>
      <w:r>
        <w:rPr>
          <w:b/>
        </w:rPr>
        <w:t>!</w:t>
      </w:r>
    </w:p>
    <w:p w:rsidR="005E6583" w:rsidRPr="00EE5088" w:rsidRDefault="0006481C" w:rsidP="00EE5088">
      <w:pPr>
        <w:spacing w:line="276" w:lineRule="auto"/>
        <w:ind w:right="142" w:firstLine="567"/>
        <w:rPr>
          <w:rFonts w:eastAsia="Calibri"/>
          <w:b/>
        </w:rPr>
      </w:pPr>
      <w:r>
        <w:rPr>
          <w:b/>
        </w:rPr>
        <w:t>Marketing Authorization</w:t>
      </w:r>
      <w:r w:rsidR="005E6583">
        <w:rPr>
          <w:b/>
        </w:rPr>
        <w:t xml:space="preserve"> holder:</w:t>
      </w:r>
    </w:p>
    <w:p w:rsidR="00EE5088" w:rsidRDefault="00EE5088" w:rsidP="00EE5088">
      <w:pPr>
        <w:ind w:firstLine="567"/>
      </w:pPr>
      <w:proofErr w:type="spellStart"/>
      <w:r>
        <w:t>PJSC</w:t>
      </w:r>
      <w:proofErr w:type="spellEnd"/>
      <w:r>
        <w:t xml:space="preserve"> «</w:t>
      </w:r>
      <w:proofErr w:type="spellStart"/>
      <w:r>
        <w:t>Technolog</w:t>
      </w:r>
      <w:proofErr w:type="spellEnd"/>
      <w:r>
        <w:t xml:space="preserve">». </w:t>
      </w:r>
    </w:p>
    <w:p w:rsidR="00EE5088" w:rsidRDefault="00EE5088" w:rsidP="00EE5088">
      <w:pPr>
        <w:ind w:firstLine="567"/>
      </w:pPr>
      <w:r>
        <w:t xml:space="preserve">8, </w:t>
      </w:r>
      <w:proofErr w:type="spellStart"/>
      <w:r>
        <w:t>Stara</w:t>
      </w:r>
      <w:proofErr w:type="spellEnd"/>
      <w:r>
        <w:t xml:space="preserve"> </w:t>
      </w:r>
      <w:proofErr w:type="spellStart"/>
      <w:r>
        <w:t>prorizna</w:t>
      </w:r>
      <w:proofErr w:type="spellEnd"/>
      <w:r>
        <w:t xml:space="preserve"> Str., </w:t>
      </w:r>
      <w:proofErr w:type="spellStart"/>
      <w:r>
        <w:t>Uman</w:t>
      </w:r>
      <w:proofErr w:type="spellEnd"/>
      <w:r>
        <w:t xml:space="preserve">, Cherkassy </w:t>
      </w:r>
      <w:r w:rsidR="005F74BE">
        <w:t>region</w:t>
      </w:r>
      <w:r>
        <w:t>, 20300,</w:t>
      </w:r>
    </w:p>
    <w:p w:rsidR="005E6583" w:rsidRPr="00EE5088" w:rsidRDefault="00EE5088" w:rsidP="00EE5088">
      <w:pPr>
        <w:ind w:firstLine="567"/>
        <w:rPr>
          <w:rFonts w:eastAsia="Calibri"/>
        </w:rPr>
      </w:pPr>
      <w:r>
        <w:t>Ukraine</w:t>
      </w:r>
    </w:p>
    <w:p w:rsidR="005E6583" w:rsidRPr="00EE5088" w:rsidRDefault="005E6583" w:rsidP="00EE5088">
      <w:pPr>
        <w:ind w:firstLine="567"/>
        <w:rPr>
          <w:rFonts w:eastAsia="Calibri"/>
          <w:b/>
        </w:rPr>
      </w:pPr>
      <w:r>
        <w:rPr>
          <w:b/>
        </w:rPr>
        <w:t>Manufacturer of the finished product:</w:t>
      </w:r>
    </w:p>
    <w:p w:rsidR="00EE5088" w:rsidRDefault="00EE5088" w:rsidP="00EE5088">
      <w:pPr>
        <w:ind w:firstLine="567"/>
      </w:pPr>
      <w:proofErr w:type="spellStart"/>
      <w:r>
        <w:t>PJSC</w:t>
      </w:r>
      <w:proofErr w:type="spellEnd"/>
      <w:r>
        <w:t xml:space="preserve"> «</w:t>
      </w:r>
      <w:proofErr w:type="spellStart"/>
      <w:r>
        <w:t>Technolog</w:t>
      </w:r>
      <w:proofErr w:type="spellEnd"/>
      <w:r>
        <w:t xml:space="preserve">». </w:t>
      </w:r>
    </w:p>
    <w:p w:rsidR="00EE5088" w:rsidRDefault="00EE5088" w:rsidP="00EE5088">
      <w:pPr>
        <w:ind w:firstLine="567"/>
      </w:pPr>
      <w:r>
        <w:t xml:space="preserve">8, </w:t>
      </w:r>
      <w:proofErr w:type="spellStart"/>
      <w:r>
        <w:t>Stara</w:t>
      </w:r>
      <w:proofErr w:type="spellEnd"/>
      <w:r>
        <w:t xml:space="preserve"> </w:t>
      </w:r>
      <w:proofErr w:type="spellStart"/>
      <w:r>
        <w:t>prorizna</w:t>
      </w:r>
      <w:proofErr w:type="spellEnd"/>
      <w:r>
        <w:t xml:space="preserve"> Str., </w:t>
      </w:r>
      <w:proofErr w:type="spellStart"/>
      <w:r>
        <w:t>Uman</w:t>
      </w:r>
      <w:proofErr w:type="spellEnd"/>
      <w:r>
        <w:t xml:space="preserve">, Cherkassy </w:t>
      </w:r>
      <w:r w:rsidR="005F74BE">
        <w:t>region</w:t>
      </w:r>
      <w:r>
        <w:t>, 20300,</w:t>
      </w:r>
    </w:p>
    <w:p w:rsidR="005E6583" w:rsidRPr="00EE5088" w:rsidRDefault="00EE5088" w:rsidP="00EE5088">
      <w:pPr>
        <w:ind w:firstLine="567"/>
        <w:rPr>
          <w:rFonts w:eastAsia="Calibri"/>
        </w:rPr>
      </w:pPr>
      <w:r>
        <w:t>Ukraine</w:t>
      </w:r>
    </w:p>
    <w:p w:rsidR="005E6583" w:rsidRPr="00EE5088" w:rsidRDefault="005E6583" w:rsidP="00EE5088">
      <w:pPr>
        <w:ind w:firstLine="567"/>
      </w:pPr>
      <w:bookmarkStart w:id="1" w:name="_GoBack"/>
      <w:bookmarkEnd w:id="1"/>
    </w:p>
    <w:sectPr w:rsidR="005E6583" w:rsidRPr="00EE5088" w:rsidSect="00EE5088">
      <w:footerReference w:type="even" r:id="rId6"/>
      <w:footerReference w:type="default" r:id="rId7"/>
      <w:footnotePr>
        <w:pos w:val="beneathText"/>
      </w:footnotePr>
      <w:pgSz w:w="11905" w:h="16837"/>
      <w:pgMar w:top="567" w:right="454" w:bottom="454" w:left="1134" w:header="709" w:footer="709"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1EF" w:rsidRDefault="00AE01EF">
      <w:r>
        <w:separator/>
      </w:r>
    </w:p>
  </w:endnote>
  <w:endnote w:type="continuationSeparator" w:id="0">
    <w:p w:rsidR="00AE01EF" w:rsidRDefault="00AE0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88" w:rsidRDefault="0028324D" w:rsidP="005E6583">
    <w:pPr>
      <w:pStyle w:val="a7"/>
      <w:framePr w:wrap="around" w:vAnchor="text" w:hAnchor="margin" w:xAlign="center" w:y="1"/>
      <w:rPr>
        <w:rStyle w:val="a8"/>
      </w:rPr>
    </w:pPr>
    <w:r>
      <w:rPr>
        <w:rStyle w:val="a8"/>
      </w:rPr>
      <w:fldChar w:fldCharType="begin"/>
    </w:r>
    <w:r w:rsidR="00EE5088">
      <w:rPr>
        <w:rStyle w:val="a8"/>
      </w:rPr>
      <w:instrText xml:space="preserve">PAGE  </w:instrText>
    </w:r>
    <w:r>
      <w:rPr>
        <w:rStyle w:val="a8"/>
      </w:rPr>
      <w:fldChar w:fldCharType="end"/>
    </w:r>
  </w:p>
  <w:p w:rsidR="00EE5088" w:rsidRDefault="00EE508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88" w:rsidRDefault="0028324D" w:rsidP="005E6583">
    <w:pPr>
      <w:pStyle w:val="a7"/>
      <w:framePr w:wrap="around" w:vAnchor="text" w:hAnchor="margin" w:xAlign="center" w:y="1"/>
      <w:rPr>
        <w:rStyle w:val="a8"/>
      </w:rPr>
    </w:pPr>
    <w:r>
      <w:rPr>
        <w:rStyle w:val="a8"/>
      </w:rPr>
      <w:fldChar w:fldCharType="begin"/>
    </w:r>
    <w:r w:rsidR="00EE5088">
      <w:rPr>
        <w:rStyle w:val="a8"/>
      </w:rPr>
      <w:instrText xml:space="preserve">PAGE  </w:instrText>
    </w:r>
    <w:r>
      <w:rPr>
        <w:rStyle w:val="a8"/>
      </w:rPr>
      <w:fldChar w:fldCharType="separate"/>
    </w:r>
    <w:r w:rsidR="00447C7E">
      <w:rPr>
        <w:rStyle w:val="a8"/>
        <w:noProof/>
      </w:rPr>
      <w:t>2</w:t>
    </w:r>
    <w:r>
      <w:rPr>
        <w:rStyle w:val="a8"/>
      </w:rPr>
      <w:fldChar w:fldCharType="end"/>
    </w:r>
  </w:p>
  <w:p w:rsidR="00EE5088" w:rsidRDefault="00EE50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1EF" w:rsidRDefault="00AE01EF">
      <w:r>
        <w:separator/>
      </w:r>
    </w:p>
  </w:footnote>
  <w:footnote w:type="continuationSeparator" w:id="0">
    <w:p w:rsidR="00AE01EF" w:rsidRDefault="00AE0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proofState w:spelling="clean" w:grammar="clean"/>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E5088"/>
    <w:rsid w:val="0006481C"/>
    <w:rsid w:val="0028324D"/>
    <w:rsid w:val="0043679F"/>
    <w:rsid w:val="00447C7E"/>
    <w:rsid w:val="00495F6B"/>
    <w:rsid w:val="00537B36"/>
    <w:rsid w:val="005E6583"/>
    <w:rsid w:val="005F74BE"/>
    <w:rsid w:val="008041CB"/>
    <w:rsid w:val="008F03E3"/>
    <w:rsid w:val="009A6656"/>
    <w:rsid w:val="009D5C33"/>
    <w:rsid w:val="00A24E65"/>
    <w:rsid w:val="00A26564"/>
    <w:rsid w:val="00AE01EF"/>
    <w:rsid w:val="00CA27BA"/>
    <w:rsid w:val="00CC618E"/>
    <w:rsid w:val="00CF47AF"/>
    <w:rsid w:val="00D00C53"/>
    <w:rsid w:val="00D74A9D"/>
    <w:rsid w:val="00DA7093"/>
    <w:rsid w:val="00EE5088"/>
    <w:rsid w:val="00EF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18E"/>
    <w:pPr>
      <w:suppressAutoHyphens/>
      <w:spacing w:line="100" w:lineRule="atLeast"/>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C618E"/>
  </w:style>
  <w:style w:type="paragraph" w:customStyle="1" w:styleId="10">
    <w:name w:val="Заголовок1"/>
    <w:basedOn w:val="a"/>
    <w:next w:val="a3"/>
    <w:rsid w:val="00CC618E"/>
    <w:pPr>
      <w:keepNext/>
      <w:spacing w:before="240" w:after="120"/>
    </w:pPr>
    <w:rPr>
      <w:rFonts w:ascii="Arial" w:eastAsia="Lucida Sans Unicode" w:hAnsi="Arial" w:cs="Tahoma"/>
      <w:sz w:val="28"/>
      <w:szCs w:val="28"/>
    </w:rPr>
  </w:style>
  <w:style w:type="paragraph" w:styleId="a3">
    <w:name w:val="Body Text"/>
    <w:basedOn w:val="a"/>
    <w:rsid w:val="00CC618E"/>
    <w:pPr>
      <w:spacing w:after="120"/>
    </w:pPr>
  </w:style>
  <w:style w:type="paragraph" w:styleId="a4">
    <w:name w:val="List"/>
    <w:basedOn w:val="a3"/>
    <w:rsid w:val="00CC618E"/>
    <w:rPr>
      <w:rFonts w:cs="Tahoma"/>
    </w:rPr>
  </w:style>
  <w:style w:type="paragraph" w:customStyle="1" w:styleId="11">
    <w:name w:val="Назва1"/>
    <w:basedOn w:val="a"/>
    <w:rsid w:val="00CC618E"/>
    <w:pPr>
      <w:suppressLineNumbers/>
      <w:spacing w:before="120" w:after="120"/>
    </w:pPr>
    <w:rPr>
      <w:rFonts w:cs="Tahoma"/>
      <w:i/>
      <w:iCs/>
    </w:rPr>
  </w:style>
  <w:style w:type="paragraph" w:customStyle="1" w:styleId="a5">
    <w:name w:val="Покажчик"/>
    <w:basedOn w:val="a"/>
    <w:rsid w:val="00CC618E"/>
    <w:pPr>
      <w:suppressLineNumbers/>
    </w:pPr>
    <w:rPr>
      <w:rFonts w:cs="Tahoma"/>
    </w:rPr>
  </w:style>
  <w:style w:type="paragraph" w:customStyle="1" w:styleId="a6">
    <w:name w:val="Знак Знак Знак"/>
    <w:basedOn w:val="a"/>
    <w:rsid w:val="00EE5088"/>
    <w:pPr>
      <w:suppressAutoHyphens w:val="0"/>
      <w:spacing w:line="240" w:lineRule="auto"/>
    </w:pPr>
    <w:rPr>
      <w:rFonts w:ascii="Verdana" w:hAnsi="Verdana" w:cs="Verdana"/>
      <w:kern w:val="0"/>
      <w:sz w:val="20"/>
      <w:szCs w:val="20"/>
    </w:rPr>
  </w:style>
  <w:style w:type="paragraph" w:styleId="a7">
    <w:name w:val="footer"/>
    <w:basedOn w:val="a"/>
    <w:rsid w:val="00EE5088"/>
    <w:pPr>
      <w:tabs>
        <w:tab w:val="center" w:pos="4819"/>
        <w:tab w:val="right" w:pos="9639"/>
      </w:tabs>
    </w:pPr>
  </w:style>
  <w:style w:type="character" w:styleId="a8">
    <w:name w:val="page number"/>
    <w:basedOn w:val="a0"/>
    <w:rsid w:val="00EE5088"/>
  </w:style>
  <w:style w:type="paragraph" w:styleId="a9">
    <w:name w:val="Balloon Text"/>
    <w:basedOn w:val="a"/>
    <w:link w:val="aa"/>
    <w:rsid w:val="00537B36"/>
    <w:pPr>
      <w:spacing w:line="240" w:lineRule="auto"/>
    </w:pPr>
    <w:rPr>
      <w:rFonts w:ascii="Segoe UI" w:hAnsi="Segoe UI" w:cs="Segoe UI"/>
      <w:sz w:val="18"/>
      <w:szCs w:val="18"/>
    </w:rPr>
  </w:style>
  <w:style w:type="character" w:customStyle="1" w:styleId="aa">
    <w:name w:val="Текст выноски Знак"/>
    <w:link w:val="a9"/>
    <w:rsid w:val="00537B36"/>
    <w:rPr>
      <w:rFonts w:ascii="Segoe UI" w:hAnsi="Segoe UI" w:cs="Segoe UI"/>
      <w:kern w:val="1"/>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677</Words>
  <Characters>3864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М. Дубін</dc:creator>
  <cp:lastModifiedBy>Шульженко</cp:lastModifiedBy>
  <cp:revision>6</cp:revision>
  <cp:lastPrinted>2017-05-25T08:31:00Z</cp:lastPrinted>
  <dcterms:created xsi:type="dcterms:W3CDTF">2018-12-07T11:11:00Z</dcterms:created>
  <dcterms:modified xsi:type="dcterms:W3CDTF">2019-02-22T14:05:00Z</dcterms:modified>
</cp:coreProperties>
</file>