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B3B" w:rsidRDefault="00887B3B">
      <w:pPr>
        <w:spacing w:before="35"/>
        <w:ind w:right="396"/>
        <w:jc w:val="right"/>
        <w:rPr>
          <w:sz w:val="30"/>
        </w:rPr>
      </w:pPr>
    </w:p>
    <w:p w:rsidR="00887B3B" w:rsidRPr="00C72213" w:rsidRDefault="00D83BB7">
      <w:pPr>
        <w:spacing w:before="53"/>
        <w:ind w:left="795" w:right="759"/>
        <w:jc w:val="center"/>
        <w:rPr>
          <w:b/>
          <w:sz w:val="28"/>
          <w:szCs w:val="28"/>
        </w:rPr>
      </w:pPr>
      <w:proofErr w:type="spellStart"/>
      <w:r>
        <w:rPr>
          <w:b/>
          <w:color w:val="464B49"/>
          <w:w w:val="105"/>
          <w:sz w:val="28"/>
        </w:rPr>
        <w:t>T</w:t>
      </w:r>
      <w:r w:rsidR="00F2090E">
        <w:rPr>
          <w:b/>
          <w:color w:val="464B49"/>
          <w:w w:val="105"/>
          <w:sz w:val="28"/>
        </w:rPr>
        <w:t>Y</w:t>
      </w:r>
      <w:r>
        <w:rPr>
          <w:b/>
          <w:color w:val="464B49"/>
          <w:w w:val="105"/>
          <w:sz w:val="28"/>
        </w:rPr>
        <w:t>LOTAR</w:t>
      </w:r>
      <w:proofErr w:type="spellEnd"/>
    </w:p>
    <w:p w:rsidR="00887B3B" w:rsidRDefault="00D83BB7">
      <w:pPr>
        <w:spacing w:before="16"/>
        <w:ind w:left="795" w:right="761"/>
        <w:jc w:val="center"/>
        <w:rPr>
          <w:b/>
        </w:rPr>
      </w:pPr>
      <w:r>
        <w:rPr>
          <w:b/>
          <w:color w:val="5D6060"/>
          <w:w w:val="105"/>
        </w:rPr>
        <w:t>(water-soluble powder for oral administration)</w:t>
      </w:r>
    </w:p>
    <w:p w:rsidR="00887B3B" w:rsidRDefault="00D83BB7">
      <w:pPr>
        <w:pStyle w:val="a3"/>
        <w:spacing w:before="7"/>
        <w:ind w:left="795" w:right="735"/>
        <w:jc w:val="center"/>
      </w:pPr>
      <w:r>
        <w:rPr>
          <w:color w:val="5D6060"/>
          <w:w w:val="105"/>
        </w:rPr>
        <w:t>package insert</w:t>
      </w:r>
    </w:p>
    <w:p w:rsidR="00887B3B" w:rsidRDefault="00887B3B">
      <w:pPr>
        <w:pStyle w:val="a3"/>
        <w:spacing w:before="10"/>
        <w:rPr>
          <w:sz w:val="18"/>
        </w:rPr>
      </w:pPr>
    </w:p>
    <w:p w:rsidR="00887B3B" w:rsidRDefault="00D83BB7">
      <w:pPr>
        <w:spacing w:before="91"/>
        <w:ind w:left="853"/>
        <w:rPr>
          <w:b/>
        </w:rPr>
      </w:pPr>
      <w:r>
        <w:rPr>
          <w:b/>
          <w:color w:val="464B49"/>
          <w:w w:val="105"/>
        </w:rPr>
        <w:t>Description</w:t>
      </w:r>
    </w:p>
    <w:p w:rsidR="00887B3B" w:rsidRPr="00C72213" w:rsidRDefault="00D83BB7">
      <w:pPr>
        <w:pStyle w:val="a3"/>
        <w:spacing w:before="7"/>
        <w:ind w:left="851"/>
        <w:rPr>
          <w:sz w:val="22"/>
          <w:szCs w:val="22"/>
        </w:rPr>
      </w:pPr>
      <w:r>
        <w:t xml:space="preserve">White powder with </w:t>
      </w:r>
      <w:r w:rsidR="007375CB">
        <w:t xml:space="preserve">a </w:t>
      </w:r>
      <w:r>
        <w:t xml:space="preserve">yellow </w:t>
      </w:r>
      <w:r w:rsidR="007375CB">
        <w:t>shade</w:t>
      </w:r>
    </w:p>
    <w:p w:rsidR="00887B3B" w:rsidRPr="00C72213" w:rsidRDefault="00D83BB7">
      <w:pPr>
        <w:spacing w:before="26"/>
        <w:ind w:left="847"/>
        <w:rPr>
          <w:b/>
        </w:rPr>
      </w:pPr>
      <w:r>
        <w:rPr>
          <w:b/>
          <w:color w:val="464B49"/>
          <w:w w:val="110"/>
        </w:rPr>
        <w:t>Ingredients:</w:t>
      </w:r>
    </w:p>
    <w:p w:rsidR="00887B3B" w:rsidRPr="00C72213" w:rsidRDefault="00D83BB7">
      <w:pPr>
        <w:pStyle w:val="a3"/>
        <w:spacing w:before="7" w:line="271" w:lineRule="auto"/>
        <w:ind w:left="842" w:right="4596" w:firstLine="4"/>
        <w:rPr>
          <w:sz w:val="22"/>
          <w:szCs w:val="22"/>
        </w:rPr>
      </w:pPr>
      <w:r>
        <w:t>100 g of the drug contains:</w:t>
      </w:r>
      <w:r>
        <w:rPr>
          <w:color w:val="5D6060"/>
          <w:sz w:val="22"/>
        </w:rPr>
        <w:t xml:space="preserve"> </w:t>
      </w:r>
      <w:r w:rsidR="00C26DBA">
        <w:t xml:space="preserve">100 g </w:t>
      </w:r>
      <w:proofErr w:type="spellStart"/>
      <w:r>
        <w:t>Tylosin</w:t>
      </w:r>
      <w:proofErr w:type="spellEnd"/>
      <w:r>
        <w:t xml:space="preserve"> </w:t>
      </w:r>
      <w:proofErr w:type="spellStart"/>
      <w:r>
        <w:t>tartrate</w:t>
      </w:r>
      <w:proofErr w:type="spellEnd"/>
      <w:r>
        <w:t xml:space="preserve"> </w:t>
      </w:r>
    </w:p>
    <w:p w:rsidR="00887B3B" w:rsidRPr="00C72213" w:rsidRDefault="00D83BB7">
      <w:pPr>
        <w:spacing w:before="17"/>
        <w:ind w:left="841"/>
        <w:rPr>
          <w:b/>
        </w:rPr>
      </w:pPr>
      <w:r>
        <w:rPr>
          <w:b/>
          <w:color w:val="464B49"/>
          <w:w w:val="105"/>
        </w:rPr>
        <w:t>Pharmacological properties</w:t>
      </w:r>
    </w:p>
    <w:p w:rsidR="00887B3B" w:rsidRPr="00C72213" w:rsidRDefault="00D43701">
      <w:pPr>
        <w:pStyle w:val="a3"/>
        <w:spacing w:before="31" w:line="249" w:lineRule="auto"/>
        <w:ind w:left="147" w:firstLine="557"/>
        <w:rPr>
          <w:sz w:val="22"/>
          <w:szCs w:val="22"/>
        </w:rPr>
      </w:pPr>
      <w:r>
        <w:t xml:space="preserve">  </w:t>
      </w:r>
      <w:proofErr w:type="spellStart"/>
      <w:r w:rsidR="00D83BB7">
        <w:t>ATC</w:t>
      </w:r>
      <w:proofErr w:type="spellEnd"/>
      <w:r w:rsidR="00D83BB7">
        <w:t xml:space="preserve"> vet code is QJO1 – antimicrobial veterinary products for systemic use.</w:t>
      </w:r>
      <w:r w:rsidR="00D83BB7">
        <w:rPr>
          <w:color w:val="5D6060"/>
          <w:w w:val="105"/>
          <w:sz w:val="22"/>
        </w:rPr>
        <w:t xml:space="preserve"> QJО1FА90 – Tylosin.</w:t>
      </w:r>
    </w:p>
    <w:p w:rsidR="00887B3B" w:rsidRPr="00C72213" w:rsidRDefault="00D83BB7" w:rsidP="00C26DBA">
      <w:pPr>
        <w:ind w:left="142"/>
        <w:jc w:val="both"/>
        <w:rPr>
          <w:i/>
        </w:rPr>
      </w:pPr>
      <w:r>
        <w:t xml:space="preserve">Tylosin is an antibiotic of the macrolide group active to gram-positive </w:t>
      </w:r>
      <w:r>
        <w:rPr>
          <w:i/>
          <w:color w:val="707474"/>
          <w:w w:val="105"/>
        </w:rPr>
        <w:t xml:space="preserve">(Actinomycos spp., </w:t>
      </w:r>
      <w:r>
        <w:rPr>
          <w:i/>
          <w:color w:val="5D6060"/>
          <w:w w:val="105"/>
        </w:rPr>
        <w:t>Bacillus antгacis</w:t>
      </w:r>
      <w:r>
        <w:rPr>
          <w:i/>
          <w:color w:val="959999"/>
          <w:w w:val="105"/>
        </w:rPr>
        <w:t xml:space="preserve">, </w:t>
      </w:r>
      <w:r>
        <w:rPr>
          <w:i/>
          <w:color w:val="5D6060"/>
          <w:w w:val="105"/>
        </w:rPr>
        <w:t xml:space="preserve">Clostгidium spp., </w:t>
      </w:r>
      <w:r>
        <w:rPr>
          <w:i/>
          <w:color w:val="707474"/>
          <w:w w:val="105"/>
        </w:rPr>
        <w:t>C01y nebacte</w:t>
      </w:r>
      <w:r>
        <w:rPr>
          <w:i/>
          <w:color w:val="464B49"/>
          <w:spacing w:val="-6"/>
          <w:w w:val="105"/>
        </w:rPr>
        <w:t xml:space="preserve">rium </w:t>
      </w:r>
      <w:r>
        <w:rPr>
          <w:i/>
          <w:color w:val="5D6060"/>
          <w:w w:val="105"/>
        </w:rPr>
        <w:t xml:space="preserve">spp., Erysipelothrix rhusiopathiae, Stгeptococcus spp., Staphyloccocus spp., Diploccocus spp.) </w:t>
      </w:r>
      <w:r>
        <w:t xml:space="preserve">and gram-negative microorganisms </w:t>
      </w:r>
      <w:r>
        <w:rPr>
          <w:i/>
          <w:color w:val="5D6060"/>
          <w:w w:val="105"/>
        </w:rPr>
        <w:t xml:space="preserve">(Pasteurella multocida, Salmonella spp., Actinobacillus </w:t>
      </w:r>
      <w:r>
        <w:rPr>
          <w:i/>
          <w:color w:val="707474"/>
          <w:w w:val="105"/>
        </w:rPr>
        <w:t xml:space="preserve">spp., </w:t>
      </w:r>
      <w:r>
        <w:rPr>
          <w:i/>
          <w:color w:val="5D6060"/>
          <w:w w:val="105"/>
        </w:rPr>
        <w:t xml:space="preserve">Fusobacte1-ium spp., Boгdetella bronchiseptica, Haemophilus </w:t>
      </w:r>
      <w:r>
        <w:rPr>
          <w:i/>
          <w:color w:val="707474"/>
          <w:w w:val="105"/>
        </w:rPr>
        <w:t>spp</w:t>
      </w:r>
      <w:r>
        <w:rPr>
          <w:i/>
          <w:color w:val="959999"/>
          <w:w w:val="105"/>
        </w:rPr>
        <w:t>.</w:t>
      </w:r>
      <w:r>
        <w:rPr>
          <w:i/>
          <w:color w:val="707474"/>
          <w:w w:val="105"/>
        </w:rPr>
        <w:t xml:space="preserve">, </w:t>
      </w:r>
      <w:r>
        <w:rPr>
          <w:i/>
          <w:color w:val="5D6060"/>
          <w:w w:val="105"/>
        </w:rPr>
        <w:t xml:space="preserve">Bacteroides nodosus, Moraxella </w:t>
      </w:r>
      <w:r>
        <w:rPr>
          <w:i/>
          <w:color w:val="707474"/>
          <w:w w:val="105"/>
        </w:rPr>
        <w:t xml:space="preserve">spp., </w:t>
      </w:r>
      <w:r>
        <w:rPr>
          <w:i/>
          <w:color w:val="5D6060"/>
          <w:w w:val="105"/>
        </w:rPr>
        <w:t xml:space="preserve">Proteus тігаЬШs). </w:t>
      </w:r>
      <w:proofErr w:type="spellStart"/>
      <w:r>
        <w:t>Mycoplasms</w:t>
      </w:r>
      <w:proofErr w:type="spellEnd"/>
      <w:r w:rsidR="00D43701">
        <w:t xml:space="preserve"> are</w:t>
      </w:r>
      <w:r>
        <w:t xml:space="preserve"> highly sensitive to </w:t>
      </w:r>
      <w:proofErr w:type="spellStart"/>
      <w:r>
        <w:t>Tylosin</w:t>
      </w:r>
      <w:proofErr w:type="spellEnd"/>
      <w:r>
        <w:t xml:space="preserve"> </w:t>
      </w:r>
      <w:r>
        <w:rPr>
          <w:i/>
          <w:color w:val="5D6060"/>
          <w:w w:val="105"/>
        </w:rPr>
        <w:t>(</w:t>
      </w:r>
      <w:proofErr w:type="spellStart"/>
      <w:r>
        <w:rPr>
          <w:i/>
          <w:color w:val="5D6060"/>
          <w:w w:val="105"/>
        </w:rPr>
        <w:t>Mycoplasma</w:t>
      </w:r>
      <w:proofErr w:type="spellEnd"/>
      <w:r>
        <w:rPr>
          <w:i/>
          <w:color w:val="5D6060"/>
          <w:w w:val="105"/>
        </w:rPr>
        <w:t xml:space="preserve"> </w:t>
      </w:r>
      <w:proofErr w:type="spellStart"/>
      <w:r>
        <w:rPr>
          <w:i/>
          <w:color w:val="5D6060"/>
          <w:w w:val="105"/>
        </w:rPr>
        <w:t>gallisepticum</w:t>
      </w:r>
      <w:proofErr w:type="spellEnd"/>
      <w:r>
        <w:rPr>
          <w:i/>
          <w:color w:val="5D6060"/>
          <w:w w:val="105"/>
        </w:rPr>
        <w:t xml:space="preserve">, М </w:t>
      </w:r>
      <w:proofErr w:type="spellStart"/>
      <w:r>
        <w:rPr>
          <w:i/>
          <w:color w:val="5D6060"/>
          <w:w w:val="105"/>
        </w:rPr>
        <w:t>hyopneumoniae</w:t>
      </w:r>
      <w:proofErr w:type="spellEnd"/>
      <w:r>
        <w:rPr>
          <w:i/>
          <w:color w:val="5D6060"/>
          <w:w w:val="105"/>
        </w:rPr>
        <w:t xml:space="preserve">, М </w:t>
      </w:r>
      <w:proofErr w:type="spellStart"/>
      <w:r>
        <w:rPr>
          <w:i/>
          <w:color w:val="707474"/>
          <w:w w:val="105"/>
        </w:rPr>
        <w:t>synoviae</w:t>
      </w:r>
      <w:proofErr w:type="spellEnd"/>
      <w:r>
        <w:rPr>
          <w:i/>
          <w:color w:val="707474"/>
          <w:w w:val="105"/>
        </w:rPr>
        <w:t xml:space="preserve">, М </w:t>
      </w:r>
      <w:proofErr w:type="spellStart"/>
      <w:r>
        <w:rPr>
          <w:i/>
          <w:color w:val="5D6060"/>
          <w:w w:val="105"/>
        </w:rPr>
        <w:t>meleagгidis</w:t>
      </w:r>
      <w:proofErr w:type="spellEnd"/>
      <w:r>
        <w:rPr>
          <w:i/>
          <w:color w:val="5D6060"/>
          <w:w w:val="105"/>
        </w:rPr>
        <w:t xml:space="preserve">, </w:t>
      </w:r>
      <w:r>
        <w:rPr>
          <w:i/>
          <w:color w:val="707474"/>
          <w:w w:val="105"/>
        </w:rPr>
        <w:t xml:space="preserve">М </w:t>
      </w:r>
      <w:proofErr w:type="spellStart"/>
      <w:r>
        <w:rPr>
          <w:i/>
          <w:color w:val="707474"/>
          <w:w w:val="105"/>
        </w:rPr>
        <w:t>agalactiae</w:t>
      </w:r>
      <w:proofErr w:type="spellEnd"/>
      <w:r>
        <w:rPr>
          <w:i/>
          <w:color w:val="707474"/>
          <w:w w:val="105"/>
        </w:rPr>
        <w:t xml:space="preserve">, М </w:t>
      </w:r>
      <w:proofErr w:type="spellStart"/>
      <w:r>
        <w:rPr>
          <w:i/>
          <w:color w:val="5D6060"/>
          <w:w w:val="105"/>
        </w:rPr>
        <w:t>bovigenitalium</w:t>
      </w:r>
      <w:proofErr w:type="spellEnd"/>
      <w:r>
        <w:rPr>
          <w:i/>
          <w:color w:val="5D6060"/>
          <w:w w:val="105"/>
        </w:rPr>
        <w:t xml:space="preserve">), </w:t>
      </w:r>
      <w:r w:rsidR="00D43701">
        <w:rPr>
          <w:color w:val="5D6060"/>
          <w:w w:val="105"/>
        </w:rPr>
        <w:t xml:space="preserve">as well as </w:t>
      </w:r>
      <w:proofErr w:type="spellStart"/>
      <w:r w:rsidR="00D43701">
        <w:rPr>
          <w:color w:val="5D6060"/>
          <w:w w:val="105"/>
        </w:rPr>
        <w:t>chlamydia</w:t>
      </w:r>
      <w:proofErr w:type="spellEnd"/>
      <w:r>
        <w:rPr>
          <w:color w:val="707474"/>
          <w:w w:val="105"/>
        </w:rPr>
        <w:t xml:space="preserve"> </w:t>
      </w:r>
      <w:r>
        <w:rPr>
          <w:i/>
          <w:color w:val="707474"/>
          <w:w w:val="105"/>
        </w:rPr>
        <w:t xml:space="preserve">(Chlamydia spp.) </w:t>
      </w:r>
      <w:r>
        <w:t xml:space="preserve">and rickettsia </w:t>
      </w:r>
      <w:r>
        <w:rPr>
          <w:i/>
          <w:color w:val="707474"/>
          <w:w w:val="105"/>
        </w:rPr>
        <w:t>(Rickettsia spp.).</w:t>
      </w:r>
    </w:p>
    <w:p w:rsidR="00887B3B" w:rsidRPr="00C72213" w:rsidRDefault="00D83BB7">
      <w:pPr>
        <w:pStyle w:val="a3"/>
        <w:spacing w:line="254" w:lineRule="auto"/>
        <w:ind w:left="149" w:right="131" w:firstLine="691"/>
        <w:jc w:val="both"/>
        <w:rPr>
          <w:sz w:val="22"/>
          <w:szCs w:val="22"/>
        </w:rPr>
      </w:pPr>
      <w:r>
        <w:t>The mode of action of Tylosin is to block protein production in a bacterial cell by forming a complex with 50S subunits of ribosomes.</w:t>
      </w:r>
    </w:p>
    <w:p w:rsidR="00887B3B" w:rsidRPr="00C72213" w:rsidRDefault="00D83BB7">
      <w:pPr>
        <w:pStyle w:val="a3"/>
        <w:spacing w:line="249" w:lineRule="auto"/>
        <w:ind w:left="124" w:right="123" w:firstLine="710"/>
        <w:jc w:val="both"/>
        <w:rPr>
          <w:sz w:val="22"/>
          <w:szCs w:val="22"/>
        </w:rPr>
      </w:pPr>
      <w:r>
        <w:t>The rate of Tylosin penetration into the cell is quite high.</w:t>
      </w:r>
      <w:r>
        <w:rPr>
          <w:color w:val="5D6060"/>
          <w:sz w:val="22"/>
        </w:rPr>
        <w:t xml:space="preserve"> </w:t>
      </w:r>
      <w:r w:rsidR="00C26DBA">
        <w:t>At</w:t>
      </w:r>
      <w:r>
        <w:t xml:space="preserve"> </w:t>
      </w:r>
      <w:r w:rsidR="00C26DBA">
        <w:t xml:space="preserve">oral </w:t>
      </w:r>
      <w:r>
        <w:t>administr</w:t>
      </w:r>
      <w:r w:rsidR="00C26DBA">
        <w:t xml:space="preserve">ation </w:t>
      </w:r>
      <w:proofErr w:type="spellStart"/>
      <w:r>
        <w:t>Tylosin</w:t>
      </w:r>
      <w:proofErr w:type="spellEnd"/>
      <w:r>
        <w:t xml:space="preserve"> is rapidly absorbed from the digestive tract into the blood and penetrates practically </w:t>
      </w:r>
      <w:proofErr w:type="gramStart"/>
      <w:r w:rsidR="00D43701">
        <w:t>to</w:t>
      </w:r>
      <w:proofErr w:type="gramEnd"/>
      <w:r w:rsidR="00D43701">
        <w:t xml:space="preserve"> </w:t>
      </w:r>
      <w:r>
        <w:t xml:space="preserve">all organs and tissues of the body, </w:t>
      </w:r>
      <w:r w:rsidR="00D43701">
        <w:t xml:space="preserve">accept the </w:t>
      </w:r>
      <w:r>
        <w:t>brain, creating in them concentrations higher than in plasma.</w:t>
      </w:r>
      <w:r>
        <w:rPr>
          <w:color w:val="5D6060"/>
          <w:sz w:val="22"/>
        </w:rPr>
        <w:t xml:space="preserve"> </w:t>
      </w:r>
      <w:r>
        <w:t>Maximum concentration is created in lungs, liver, mammary glands and kidneys.</w:t>
      </w:r>
      <w:r>
        <w:rPr>
          <w:color w:val="5D6060"/>
          <w:sz w:val="22"/>
        </w:rPr>
        <w:t xml:space="preserve"> </w:t>
      </w:r>
      <w:r>
        <w:t>Maximum concentration in blood is observed in 1–4 hours after oral administration.</w:t>
      </w:r>
      <w:r>
        <w:rPr>
          <w:color w:val="464B49"/>
          <w:spacing w:val="-7"/>
          <w:sz w:val="22"/>
        </w:rPr>
        <w:t xml:space="preserve"> </w:t>
      </w:r>
      <w:r>
        <w:t xml:space="preserve">Therapeutic concentration of </w:t>
      </w:r>
      <w:proofErr w:type="spellStart"/>
      <w:r>
        <w:t>Tylosin</w:t>
      </w:r>
      <w:proofErr w:type="spellEnd"/>
      <w:r>
        <w:t xml:space="preserve"> after single </w:t>
      </w:r>
      <w:r w:rsidR="00D43701">
        <w:t>administration</w:t>
      </w:r>
      <w:r>
        <w:t xml:space="preserve"> in recommended doses is preserved in the body during 15–18 hours.</w:t>
      </w:r>
      <w:r>
        <w:rPr>
          <w:color w:val="5D6060"/>
          <w:sz w:val="22"/>
        </w:rPr>
        <w:t xml:space="preserve"> </w:t>
      </w:r>
      <w:r>
        <w:t>In addition, due to the mode of action, tylosin is selectively accumulated in tissues with low acidity, that is in the areas of inflammation</w:t>
      </w:r>
      <w:r w:rsidR="00D43701">
        <w:t xml:space="preserve"> and provides </w:t>
      </w:r>
      <w:r>
        <w:t>significant and targeted effect.</w:t>
      </w:r>
    </w:p>
    <w:p w:rsidR="00887B3B" w:rsidRPr="00C72213" w:rsidRDefault="00D83BB7">
      <w:pPr>
        <w:pStyle w:val="a3"/>
        <w:spacing w:before="4" w:line="259" w:lineRule="exact"/>
        <w:ind w:left="813"/>
        <w:rPr>
          <w:sz w:val="22"/>
          <w:szCs w:val="22"/>
        </w:rPr>
      </w:pPr>
      <w:r>
        <w:t xml:space="preserve">Tylosin is excreted from the body mainly in </w:t>
      </w:r>
      <w:r w:rsidR="00D43701">
        <w:t xml:space="preserve">the </w:t>
      </w:r>
      <w:r w:rsidR="00C46F19">
        <w:t>fecal masses</w:t>
      </w:r>
      <w:r>
        <w:t xml:space="preserve"> and less in </w:t>
      </w:r>
      <w:r w:rsidR="00D43701">
        <w:t xml:space="preserve">the </w:t>
      </w:r>
      <w:r>
        <w:t>urine.</w:t>
      </w:r>
    </w:p>
    <w:p w:rsidR="00887B3B" w:rsidRPr="00C72213" w:rsidRDefault="00D83BB7">
      <w:pPr>
        <w:spacing w:before="32"/>
        <w:ind w:left="815"/>
        <w:rPr>
          <w:b/>
        </w:rPr>
      </w:pPr>
      <w:r>
        <w:rPr>
          <w:b/>
          <w:color w:val="464B49"/>
          <w:w w:val="105"/>
        </w:rPr>
        <w:t>Indications for use</w:t>
      </w:r>
    </w:p>
    <w:p w:rsidR="00887B3B" w:rsidRPr="00C72213" w:rsidRDefault="00D83BB7">
      <w:pPr>
        <w:spacing w:before="25" w:line="254" w:lineRule="auto"/>
        <w:ind w:left="122" w:right="126" w:firstLine="690"/>
        <w:jc w:val="both"/>
      </w:pPr>
      <w:r>
        <w:t>Calves (under 3 month of age):</w:t>
      </w:r>
      <w:r>
        <w:rPr>
          <w:color w:val="5D6060"/>
          <w:w w:val="105"/>
        </w:rPr>
        <w:t xml:space="preserve"> </w:t>
      </w:r>
      <w:r>
        <w:t>treatment of animals with diseases of the respiratory system caused by microorganisms sensitive to Tylosin (</w:t>
      </w:r>
      <w:r>
        <w:rPr>
          <w:i/>
          <w:color w:val="707474"/>
          <w:w w:val="105"/>
        </w:rPr>
        <w:t xml:space="preserve">Pasteш-ella </w:t>
      </w:r>
      <w:r>
        <w:rPr>
          <w:i/>
          <w:color w:val="5D6060"/>
          <w:w w:val="105"/>
        </w:rPr>
        <w:t>multocida, Mycoplasma bovis, Mycoplasma dispar</w:t>
      </w:r>
      <w:r>
        <w:t xml:space="preserve"> and others).</w:t>
      </w:r>
    </w:p>
    <w:p w:rsidR="00887B3B" w:rsidRPr="00C72213" w:rsidRDefault="00D83BB7">
      <w:pPr>
        <w:pStyle w:val="a3"/>
        <w:spacing w:line="252" w:lineRule="auto"/>
        <w:ind w:left="118" w:right="126" w:firstLine="704"/>
        <w:jc w:val="both"/>
        <w:rPr>
          <w:sz w:val="22"/>
          <w:szCs w:val="22"/>
        </w:rPr>
      </w:pPr>
      <w:r>
        <w:rPr>
          <w:color w:val="5D6060"/>
          <w:w w:val="105"/>
          <w:sz w:val="22"/>
        </w:rPr>
        <w:t xml:space="preserve">Pigs: </w:t>
      </w:r>
      <w:r>
        <w:t xml:space="preserve">treatment of animals with enzootic pneumonia, bloody flux and other diseases caused by microorganisms sensitive to Tylosin </w:t>
      </w:r>
      <w:r>
        <w:rPr>
          <w:i/>
          <w:color w:val="5D6060"/>
          <w:w w:val="105"/>
          <w:sz w:val="22"/>
        </w:rPr>
        <w:t xml:space="preserve">(Lawsonia interacellularis </w:t>
      </w:r>
      <w:r>
        <w:t>and others).</w:t>
      </w:r>
    </w:p>
    <w:p w:rsidR="00887B3B" w:rsidRPr="00C72213" w:rsidRDefault="00D83BB7">
      <w:pPr>
        <w:spacing w:line="290" w:lineRule="auto"/>
        <w:ind w:left="270" w:right="273" w:firstLine="551"/>
        <w:jc w:val="both"/>
      </w:pPr>
      <w:r>
        <w:t>Chickens (broiler chickens, replacement chickens, breeding pairs) and turkeys:</w:t>
      </w:r>
      <w:r>
        <w:rPr>
          <w:color w:val="5D6060"/>
          <w:w w:val="105"/>
        </w:rPr>
        <w:t xml:space="preserve"> </w:t>
      </w:r>
      <w:r>
        <w:t xml:space="preserve">treatment of poultry with diseases of the respiratory system caused by microorganisms sensitive to Tylosin </w:t>
      </w:r>
      <w:r>
        <w:rPr>
          <w:i/>
          <w:color w:val="5D6060"/>
          <w:w w:val="105"/>
        </w:rPr>
        <w:t>(Mycoplasma gallisepticum, Mycoplasma synoviae</w:t>
      </w:r>
      <w:r>
        <w:t>).</w:t>
      </w:r>
    </w:p>
    <w:p w:rsidR="00887B3B" w:rsidRPr="00C72213" w:rsidRDefault="00D83BB7">
      <w:pPr>
        <w:spacing w:before="24"/>
        <w:ind w:left="813"/>
        <w:rPr>
          <w:b/>
        </w:rPr>
      </w:pPr>
      <w:r>
        <w:rPr>
          <w:b/>
          <w:color w:val="5D6060"/>
          <w:w w:val="105"/>
        </w:rPr>
        <w:t>Dosage</w:t>
      </w:r>
    </w:p>
    <w:p w:rsidR="00887B3B" w:rsidRPr="00C72213" w:rsidRDefault="00D83BB7">
      <w:pPr>
        <w:pStyle w:val="a3"/>
        <w:spacing w:before="43"/>
        <w:ind w:left="821"/>
        <w:rPr>
          <w:sz w:val="22"/>
          <w:szCs w:val="22"/>
        </w:rPr>
      </w:pPr>
      <w:r>
        <w:t xml:space="preserve">Orally with </w:t>
      </w:r>
      <w:r w:rsidR="00C46F19">
        <w:t>drinking</w:t>
      </w:r>
      <w:r>
        <w:t xml:space="preserve"> water or milk replacer in a dose of:</w:t>
      </w:r>
    </w:p>
    <w:p w:rsidR="00887B3B" w:rsidRPr="00C72213" w:rsidRDefault="00965675">
      <w:pPr>
        <w:pStyle w:val="a3"/>
        <w:spacing w:before="11" w:line="254" w:lineRule="auto"/>
        <w:ind w:left="123" w:right="122" w:firstLine="695"/>
        <w:jc w:val="both"/>
        <w:rPr>
          <w:sz w:val="22"/>
          <w:szCs w:val="22"/>
        </w:rPr>
      </w:pPr>
      <w:r>
        <w:t>C</w:t>
      </w:r>
      <w:r w:rsidR="00D83BB7">
        <w:t>alves under 3 month of age</w:t>
      </w:r>
      <w:r>
        <w:t>:</w:t>
      </w:r>
      <w:r w:rsidR="00D83BB7">
        <w:t xml:space="preserve"> 1 g of Tylosin tartrate per animal (with body weigh</w:t>
      </w:r>
      <w:r w:rsidR="00C46F19">
        <w:t>t</w:t>
      </w:r>
      <w:r w:rsidR="00D83BB7">
        <w:t xml:space="preserve"> 45-50 kg) twice a day during 5-7 days.</w:t>
      </w:r>
    </w:p>
    <w:p w:rsidR="00887B3B" w:rsidRPr="00C72213" w:rsidRDefault="00965675">
      <w:pPr>
        <w:pStyle w:val="a3"/>
        <w:spacing w:line="254" w:lineRule="auto"/>
        <w:ind w:left="127" w:right="127" w:firstLine="684"/>
        <w:jc w:val="both"/>
        <w:rPr>
          <w:sz w:val="22"/>
          <w:szCs w:val="22"/>
        </w:rPr>
      </w:pPr>
      <w:r>
        <w:t>P</w:t>
      </w:r>
      <w:r w:rsidR="00D83BB7">
        <w:t>igs</w:t>
      </w:r>
      <w:r>
        <w:t>:</w:t>
      </w:r>
      <w:r w:rsidR="00D83BB7">
        <w:t xml:space="preserve"> 25 g of Tylosin tartrate per 1 kg of body weigh</w:t>
      </w:r>
      <w:r w:rsidR="00C46F19">
        <w:t>t</w:t>
      </w:r>
      <w:r w:rsidR="00D83BB7">
        <w:t xml:space="preserve"> or 0.25 g of the drug per 1 l of </w:t>
      </w:r>
      <w:r w:rsidR="00C46F19">
        <w:t>drinking</w:t>
      </w:r>
      <w:r w:rsidR="00D83BB7">
        <w:t xml:space="preserve"> water every day during 5-7 days.</w:t>
      </w:r>
    </w:p>
    <w:p w:rsidR="00887B3B" w:rsidRPr="00C72213" w:rsidRDefault="00965675" w:rsidP="00C46F19">
      <w:pPr>
        <w:pStyle w:val="a3"/>
        <w:spacing w:before="10" w:line="248" w:lineRule="exact"/>
        <w:ind w:left="142" w:firstLine="709"/>
        <w:rPr>
          <w:sz w:val="22"/>
          <w:szCs w:val="22"/>
        </w:rPr>
      </w:pPr>
      <w:r>
        <w:t>C</w:t>
      </w:r>
      <w:r w:rsidR="00D83BB7">
        <w:t>hickens (broiler chickens, replacement chicken</w:t>
      </w:r>
      <w:r>
        <w:t xml:space="preserve">s, breeding pairs) </w:t>
      </w:r>
      <w:proofErr w:type="gramStart"/>
      <w:r>
        <w:t>and  turkeys</w:t>
      </w:r>
      <w:proofErr w:type="gramEnd"/>
      <w:r>
        <w:t>:</w:t>
      </w:r>
      <w:r w:rsidR="00D83BB7">
        <w:t xml:space="preserve"> 0.5 g of the drug per </w:t>
      </w:r>
      <w:r w:rsidR="00C46F19">
        <w:t xml:space="preserve"> </w:t>
      </w:r>
      <w:r w:rsidR="00D83BB7">
        <w:t>1 l</w:t>
      </w:r>
      <w:r w:rsidR="00C46F19">
        <w:t xml:space="preserve"> </w:t>
      </w:r>
      <w:r w:rsidR="00D83BB7">
        <w:t xml:space="preserve">of </w:t>
      </w:r>
      <w:r w:rsidR="00C46F19">
        <w:t>drinking</w:t>
      </w:r>
      <w:r w:rsidR="00D83BB7">
        <w:t xml:space="preserve"> water every day during 3</w:t>
      </w:r>
      <w:r w:rsidR="00C46F19">
        <w:t>–</w:t>
      </w:r>
      <w:r w:rsidR="00D83BB7">
        <w:t>5 days.</w:t>
      </w:r>
    </w:p>
    <w:p w:rsidR="00887B3B" w:rsidRPr="00C72213" w:rsidRDefault="00887B3B">
      <w:pPr>
        <w:sectPr w:rsidR="00887B3B" w:rsidRPr="00C72213">
          <w:headerReference w:type="default" r:id="rId6"/>
          <w:footerReference w:type="default" r:id="rId7"/>
          <w:type w:val="continuous"/>
          <w:pgSz w:w="11900" w:h="16840"/>
          <w:pgMar w:top="1500" w:right="460" w:bottom="600" w:left="980" w:header="988" w:footer="407" w:gutter="0"/>
          <w:pgNumType w:start="1"/>
          <w:cols w:space="720"/>
        </w:sectPr>
      </w:pPr>
    </w:p>
    <w:p w:rsidR="00887B3B" w:rsidRPr="00C72213" w:rsidRDefault="00965675" w:rsidP="00C46F19">
      <w:pPr>
        <w:pStyle w:val="a3"/>
        <w:spacing w:before="187" w:line="244" w:lineRule="auto"/>
        <w:ind w:left="131" w:right="395" w:firstLine="563"/>
        <w:rPr>
          <w:sz w:val="22"/>
          <w:szCs w:val="22"/>
        </w:rPr>
      </w:pPr>
      <w:r>
        <w:lastRenderedPageBreak/>
        <w:t>T</w:t>
      </w:r>
      <w:r w:rsidR="00D83BB7">
        <w:t xml:space="preserve">he </w:t>
      </w:r>
      <w:r>
        <w:t xml:space="preserve">medication should be taken continuously </w:t>
      </w:r>
      <w:r w:rsidR="00D83BB7">
        <w:t xml:space="preserve">with </w:t>
      </w:r>
      <w:r w:rsidR="00C46F19">
        <w:t>drinking</w:t>
      </w:r>
      <w:r w:rsidR="00D83BB7">
        <w:t xml:space="preserve"> water during the whole course of treatment.</w:t>
      </w:r>
      <w:r w:rsidR="00D83BB7">
        <w:rPr>
          <w:color w:val="5E6264"/>
          <w:sz w:val="22"/>
        </w:rPr>
        <w:t xml:space="preserve"> </w:t>
      </w:r>
      <w:r w:rsidR="00D83BB7">
        <w:t>Change the water with the drug every 24 hours.</w:t>
      </w:r>
    </w:p>
    <w:p w:rsidR="00887B3B" w:rsidRPr="00C72213" w:rsidRDefault="00D83BB7">
      <w:pPr>
        <w:spacing w:before="21"/>
        <w:ind w:left="689"/>
        <w:rPr>
          <w:b/>
        </w:rPr>
      </w:pPr>
      <w:r>
        <w:rPr>
          <w:b/>
          <w:color w:val="4B4F4F"/>
          <w:w w:val="110"/>
        </w:rPr>
        <w:t>Contraindications</w:t>
      </w:r>
    </w:p>
    <w:p w:rsidR="00887B3B" w:rsidRPr="00C72213" w:rsidRDefault="00D83BB7">
      <w:pPr>
        <w:pStyle w:val="a3"/>
        <w:spacing w:before="13"/>
        <w:ind w:left="689"/>
        <w:rPr>
          <w:sz w:val="22"/>
          <w:szCs w:val="22"/>
        </w:rPr>
      </w:pPr>
      <w:r>
        <w:t>Hypersensitivity to Tylosin.</w:t>
      </w:r>
    </w:p>
    <w:p w:rsidR="00887B3B" w:rsidRPr="00C72213" w:rsidRDefault="00D83BB7">
      <w:pPr>
        <w:pStyle w:val="a3"/>
        <w:spacing w:before="17"/>
        <w:ind w:left="683"/>
        <w:rPr>
          <w:sz w:val="22"/>
          <w:szCs w:val="22"/>
        </w:rPr>
      </w:pPr>
      <w:r>
        <w:t xml:space="preserve">Do not </w:t>
      </w:r>
      <w:r w:rsidR="00C26DBA">
        <w:t>use</w:t>
      </w:r>
      <w:r>
        <w:t xml:space="preserve"> </w:t>
      </w:r>
      <w:r w:rsidR="00C26DBA">
        <w:t>concomitantly</w:t>
      </w:r>
      <w:r>
        <w:t xml:space="preserve"> with </w:t>
      </w:r>
      <w:proofErr w:type="spellStart"/>
      <w:r>
        <w:t>penicillins</w:t>
      </w:r>
      <w:proofErr w:type="spellEnd"/>
      <w:r>
        <w:t xml:space="preserve">, </w:t>
      </w:r>
      <w:proofErr w:type="spellStart"/>
      <w:r>
        <w:t>cephalosporins</w:t>
      </w:r>
      <w:proofErr w:type="spellEnd"/>
      <w:r>
        <w:t xml:space="preserve"> and </w:t>
      </w:r>
      <w:proofErr w:type="spellStart"/>
      <w:r>
        <w:t>lincomycin</w:t>
      </w:r>
      <w:proofErr w:type="spellEnd"/>
      <w:r>
        <w:t>.</w:t>
      </w:r>
    </w:p>
    <w:p w:rsidR="00887B3B" w:rsidRPr="00C72213" w:rsidRDefault="00D83BB7" w:rsidP="00C46F19">
      <w:pPr>
        <w:pStyle w:val="a3"/>
        <w:spacing w:before="5" w:line="254" w:lineRule="auto"/>
        <w:ind w:left="142" w:right="254" w:firstLine="567"/>
        <w:rPr>
          <w:sz w:val="22"/>
          <w:szCs w:val="22"/>
        </w:rPr>
      </w:pPr>
      <w:r>
        <w:t>Do not administer to ruminants with functionally formed forestomachs.</w:t>
      </w:r>
      <w:r>
        <w:rPr>
          <w:color w:val="7E8080"/>
          <w:sz w:val="22"/>
        </w:rPr>
        <w:t xml:space="preserve"> </w:t>
      </w:r>
      <w:r>
        <w:t>Do not use in animals with liver disorders.</w:t>
      </w:r>
    </w:p>
    <w:p w:rsidR="00887B3B" w:rsidRPr="00C72213" w:rsidRDefault="00D83BB7">
      <w:pPr>
        <w:pStyle w:val="a3"/>
        <w:spacing w:line="254" w:lineRule="auto"/>
        <w:ind w:left="118" w:firstLine="559"/>
        <w:rPr>
          <w:sz w:val="22"/>
          <w:szCs w:val="22"/>
        </w:rPr>
      </w:pPr>
      <w:r>
        <w:t xml:space="preserve">Do not use </w:t>
      </w:r>
      <w:r w:rsidR="00B30907">
        <w:t xml:space="preserve">for </w:t>
      </w:r>
      <w:r w:rsidR="00B30907">
        <w:rPr>
          <w:color w:val="131113"/>
          <w:w w:val="105"/>
        </w:rPr>
        <w:t>prophylaxis</w:t>
      </w:r>
      <w:r>
        <w:t>; do not use if the resistant strains of the pathogen are detected.</w:t>
      </w:r>
    </w:p>
    <w:p w:rsidR="00887B3B" w:rsidRPr="00C72213" w:rsidRDefault="00D83BB7" w:rsidP="00C46F19">
      <w:pPr>
        <w:pStyle w:val="a3"/>
        <w:spacing w:before="4" w:line="248" w:lineRule="exact"/>
        <w:ind w:left="142" w:firstLine="535"/>
        <w:rPr>
          <w:sz w:val="22"/>
          <w:szCs w:val="22"/>
        </w:rPr>
      </w:pPr>
      <w:r>
        <w:t xml:space="preserve">Do not administer </w:t>
      </w:r>
      <w:r w:rsidR="00C26DBA">
        <w:t>concomitantly</w:t>
      </w:r>
      <w:r>
        <w:t xml:space="preserve"> with </w:t>
      </w:r>
      <w:proofErr w:type="spellStart"/>
      <w:r>
        <w:t>penicillins</w:t>
      </w:r>
      <w:proofErr w:type="spellEnd"/>
      <w:r>
        <w:t xml:space="preserve">, </w:t>
      </w:r>
      <w:proofErr w:type="spellStart"/>
      <w:r>
        <w:t>cephalosporins</w:t>
      </w:r>
      <w:proofErr w:type="spellEnd"/>
      <w:r>
        <w:t xml:space="preserve">, </w:t>
      </w:r>
      <w:proofErr w:type="spellStart"/>
      <w:r>
        <w:t>quinolones</w:t>
      </w:r>
      <w:proofErr w:type="spellEnd"/>
      <w:r>
        <w:t xml:space="preserve">, </w:t>
      </w:r>
      <w:proofErr w:type="spellStart"/>
      <w:r>
        <w:t>cycloserins</w:t>
      </w:r>
      <w:proofErr w:type="spellEnd"/>
      <w:r>
        <w:t xml:space="preserve">, </w:t>
      </w:r>
      <w:proofErr w:type="spellStart"/>
      <w:r>
        <w:t>chloramphenicol</w:t>
      </w:r>
      <w:proofErr w:type="spellEnd"/>
      <w:r>
        <w:t xml:space="preserve"> and </w:t>
      </w:r>
      <w:proofErr w:type="spellStart"/>
      <w:r>
        <w:t>lincosamide</w:t>
      </w:r>
      <w:proofErr w:type="spellEnd"/>
      <w:r>
        <w:t>.</w:t>
      </w:r>
    </w:p>
    <w:p w:rsidR="00887B3B" w:rsidRPr="00C72213" w:rsidRDefault="00D83BB7" w:rsidP="00C46F19">
      <w:pPr>
        <w:spacing w:before="25"/>
        <w:ind w:left="795" w:right="254" w:hanging="86"/>
        <w:rPr>
          <w:b/>
        </w:rPr>
      </w:pPr>
      <w:r>
        <w:rPr>
          <w:b/>
          <w:color w:val="4B4F4F"/>
          <w:w w:val="105"/>
        </w:rPr>
        <w:t xml:space="preserve">Warnings and </w:t>
      </w:r>
      <w:r w:rsidR="00C46F19">
        <w:rPr>
          <w:b/>
          <w:color w:val="4B4F4F"/>
          <w:w w:val="105"/>
        </w:rPr>
        <w:t>P</w:t>
      </w:r>
      <w:r>
        <w:rPr>
          <w:b/>
          <w:color w:val="4B4F4F"/>
          <w:w w:val="105"/>
        </w:rPr>
        <w:t>recautions</w:t>
      </w:r>
    </w:p>
    <w:p w:rsidR="00887B3B" w:rsidRPr="00C72213" w:rsidRDefault="00D83BB7">
      <w:pPr>
        <w:pStyle w:val="a3"/>
        <w:spacing w:before="6" w:line="252" w:lineRule="auto"/>
        <w:ind w:left="118" w:right="309" w:firstLine="557"/>
        <w:jc w:val="both"/>
        <w:rPr>
          <w:sz w:val="22"/>
          <w:szCs w:val="22"/>
        </w:rPr>
      </w:pPr>
      <w:r>
        <w:t xml:space="preserve">Slaughter of animals and poultry for meat is </w:t>
      </w:r>
      <w:r w:rsidR="00C26DBA">
        <w:t>authorized</w:t>
      </w:r>
      <w:r>
        <w:t xml:space="preserve"> in 14 days (calves) and 3 days (pigs, broilers, turkeys) after the last administration of the drug.</w:t>
      </w:r>
      <w:r>
        <w:rPr>
          <w:color w:val="5E6264"/>
          <w:w w:val="105"/>
          <w:sz w:val="22"/>
        </w:rPr>
        <w:t xml:space="preserve"> </w:t>
      </w:r>
      <w:r>
        <w:t xml:space="preserve">Eggs consumption is </w:t>
      </w:r>
      <w:r w:rsidR="00965675">
        <w:t>authorized</w:t>
      </w:r>
      <w:r>
        <w:t xml:space="preserve"> after 3 days after the last administration of the </w:t>
      </w:r>
      <w:r w:rsidR="00965675">
        <w:t>medication</w:t>
      </w:r>
      <w:r>
        <w:t>.</w:t>
      </w:r>
      <w:r>
        <w:rPr>
          <w:color w:val="4B4F4F"/>
          <w:w w:val="105"/>
          <w:sz w:val="22"/>
        </w:rPr>
        <w:t xml:space="preserve"> </w:t>
      </w:r>
      <w:r>
        <w:t xml:space="preserve">Meat and eggs produced before the specified time </w:t>
      </w:r>
      <w:r w:rsidR="00965675">
        <w:t>should be</w:t>
      </w:r>
      <w:r>
        <w:t xml:space="preserve"> disposed or fed to non-productive animals, depending on the conclusion of the veterinary physician.</w:t>
      </w:r>
    </w:p>
    <w:p w:rsidR="00887B3B" w:rsidRPr="00C72213" w:rsidRDefault="00897651">
      <w:pPr>
        <w:spacing w:before="19"/>
        <w:ind w:left="673"/>
        <w:rPr>
          <w:b/>
        </w:rPr>
      </w:pPr>
      <w:r>
        <w:rPr>
          <w:b/>
          <w:color w:val="4B4F4F"/>
          <w:w w:val="105"/>
        </w:rPr>
        <w:t>Packaging</w:t>
      </w:r>
    </w:p>
    <w:p w:rsidR="00887B3B" w:rsidRPr="00C72213" w:rsidRDefault="00C26DBA">
      <w:pPr>
        <w:pStyle w:val="a3"/>
        <w:spacing w:before="33"/>
        <w:ind w:left="671"/>
        <w:rPr>
          <w:sz w:val="22"/>
          <w:szCs w:val="22"/>
        </w:rPr>
      </w:pPr>
      <w:r>
        <w:t>100 g and 1000 g p</w:t>
      </w:r>
      <w:r w:rsidR="00D83BB7">
        <w:t>lastic containers closed with caps.</w:t>
      </w:r>
    </w:p>
    <w:p w:rsidR="00887B3B" w:rsidRPr="00C72213" w:rsidRDefault="00D83BB7">
      <w:pPr>
        <w:spacing w:before="65"/>
        <w:ind w:left="671"/>
        <w:rPr>
          <w:b/>
        </w:rPr>
      </w:pPr>
      <w:r>
        <w:rPr>
          <w:b/>
          <w:color w:val="4B4F4F"/>
          <w:w w:val="105"/>
        </w:rPr>
        <w:t>Storage</w:t>
      </w:r>
    </w:p>
    <w:p w:rsidR="00C46F19" w:rsidRDefault="00D83BB7" w:rsidP="00C46F19">
      <w:pPr>
        <w:pStyle w:val="a3"/>
        <w:spacing w:before="36" w:line="254" w:lineRule="auto"/>
        <w:ind w:left="662" w:right="254" w:firstLine="10"/>
        <w:rPr>
          <w:color w:val="5E6264"/>
          <w:sz w:val="22"/>
        </w:rPr>
      </w:pPr>
      <w:r>
        <w:t>Keep away from children</w:t>
      </w:r>
      <w:r w:rsidR="00C46F19">
        <w:t xml:space="preserve">. </w:t>
      </w:r>
      <w:proofErr w:type="gramStart"/>
      <w:r w:rsidR="00C46F19">
        <w:t>Store</w:t>
      </w:r>
      <w:r>
        <w:t xml:space="preserve"> in dark place </w:t>
      </w:r>
      <w:r w:rsidR="00C26DBA">
        <w:t>at</w:t>
      </w:r>
      <w:r>
        <w:t xml:space="preserve"> temperature 10 ºС to 25 ºС.</w:t>
      </w:r>
      <w:proofErr w:type="gramEnd"/>
      <w:r>
        <w:rPr>
          <w:color w:val="5E6264"/>
          <w:sz w:val="22"/>
        </w:rPr>
        <w:t xml:space="preserve"> </w:t>
      </w:r>
    </w:p>
    <w:p w:rsidR="00887B3B" w:rsidRPr="00C72213" w:rsidRDefault="00D83BB7" w:rsidP="00C46F19">
      <w:pPr>
        <w:pStyle w:val="a3"/>
        <w:spacing w:before="36" w:line="254" w:lineRule="auto"/>
        <w:ind w:left="662" w:right="254" w:firstLine="10"/>
        <w:rPr>
          <w:sz w:val="22"/>
          <w:szCs w:val="22"/>
        </w:rPr>
      </w:pPr>
      <w:r>
        <w:rPr>
          <w:color w:val="5E6264"/>
          <w:sz w:val="22"/>
        </w:rPr>
        <w:t>Shelf life is 3 years.</w:t>
      </w:r>
    </w:p>
    <w:p w:rsidR="00887B3B" w:rsidRPr="00C72213" w:rsidRDefault="00466D61">
      <w:pPr>
        <w:pStyle w:val="a3"/>
        <w:spacing w:line="254" w:lineRule="exact"/>
        <w:ind w:left="665"/>
        <w:rPr>
          <w:sz w:val="22"/>
          <w:szCs w:val="22"/>
        </w:rPr>
      </w:pPr>
      <w:r>
        <w:t>After reconstitution</w:t>
      </w:r>
      <w:r w:rsidR="00D83BB7">
        <w:t xml:space="preserve"> in water, use the solution within 24 hours.</w:t>
      </w:r>
    </w:p>
    <w:p w:rsidR="00965675" w:rsidRDefault="00466D61" w:rsidP="00C72213">
      <w:pPr>
        <w:spacing w:before="11" w:line="256" w:lineRule="auto"/>
        <w:ind w:left="657" w:right="77" w:firstLine="7"/>
        <w:rPr>
          <w:color w:val="5E6264"/>
        </w:rPr>
      </w:pPr>
      <w:r>
        <w:t>After reconstitution</w:t>
      </w:r>
      <w:r w:rsidR="00D83BB7">
        <w:t xml:space="preserve"> in the milk replacer, use the solution fresh.</w:t>
      </w:r>
      <w:r w:rsidR="00D83BB7">
        <w:rPr>
          <w:color w:val="5E6264"/>
        </w:rPr>
        <w:t xml:space="preserve"> </w:t>
      </w:r>
    </w:p>
    <w:p w:rsidR="00965675" w:rsidRDefault="00466D61" w:rsidP="00C72213">
      <w:pPr>
        <w:spacing w:before="11" w:line="256" w:lineRule="auto"/>
        <w:ind w:left="657" w:right="77" w:firstLine="7"/>
        <w:rPr>
          <w:color w:val="5E6264"/>
        </w:rPr>
      </w:pPr>
      <w:r>
        <w:t xml:space="preserve">Once opened, </w:t>
      </w:r>
      <w:r w:rsidR="00C46F19" w:rsidRPr="00C46F19">
        <w:t xml:space="preserve">the </w:t>
      </w:r>
      <w:r>
        <w:t>product is stored according</w:t>
      </w:r>
      <w:r w:rsidR="00D83BB7" w:rsidRPr="00C46F19">
        <w:t xml:space="preserve"> to </w:t>
      </w:r>
      <w:r w:rsidR="00C46F19" w:rsidRPr="00C46F19">
        <w:t>its</w:t>
      </w:r>
      <w:r w:rsidR="00D83BB7" w:rsidRPr="00C46F19">
        <w:t xml:space="preserve"> shelf life.</w:t>
      </w:r>
      <w:r w:rsidR="00D83BB7">
        <w:rPr>
          <w:color w:val="5E6264"/>
        </w:rPr>
        <w:t xml:space="preserve"> </w:t>
      </w:r>
    </w:p>
    <w:p w:rsidR="00887B3B" w:rsidRPr="00C72213" w:rsidRDefault="00D83BB7" w:rsidP="00C72213">
      <w:pPr>
        <w:spacing w:before="11" w:line="256" w:lineRule="auto"/>
        <w:ind w:left="657" w:right="77" w:firstLine="7"/>
        <w:rPr>
          <w:b/>
        </w:rPr>
      </w:pPr>
      <w:r w:rsidRPr="00C46F19">
        <w:rPr>
          <w:b/>
        </w:rPr>
        <w:t xml:space="preserve">For veterinary </w:t>
      </w:r>
      <w:r w:rsidR="00C46F19" w:rsidRPr="00C46F19">
        <w:rPr>
          <w:b/>
        </w:rPr>
        <w:t>use only</w:t>
      </w:r>
      <w:r w:rsidRPr="00C46F19">
        <w:rPr>
          <w:b/>
        </w:rPr>
        <w:t>!</w:t>
      </w:r>
    </w:p>
    <w:p w:rsidR="00887B3B" w:rsidRPr="00C72213" w:rsidRDefault="00D83BB7">
      <w:pPr>
        <w:spacing w:before="10"/>
        <w:ind w:left="653"/>
        <w:rPr>
          <w:b/>
        </w:rPr>
      </w:pPr>
      <w:r>
        <w:rPr>
          <w:b/>
          <w:color w:val="4B4F4F"/>
        </w:rPr>
        <w:t>Manufacturer of the finished product:</w:t>
      </w:r>
    </w:p>
    <w:p w:rsidR="00887B3B" w:rsidRPr="00C72213" w:rsidRDefault="00D83BB7">
      <w:pPr>
        <w:pStyle w:val="a3"/>
        <w:spacing w:before="1"/>
        <w:ind w:left="659"/>
        <w:rPr>
          <w:sz w:val="22"/>
          <w:szCs w:val="22"/>
        </w:rPr>
      </w:pPr>
      <w:r>
        <w:t>PJSC «Technolog»</w:t>
      </w:r>
    </w:p>
    <w:p w:rsidR="00887B3B" w:rsidRPr="00C72213" w:rsidRDefault="00D83BB7">
      <w:pPr>
        <w:pStyle w:val="a3"/>
        <w:spacing w:before="5" w:line="254" w:lineRule="auto"/>
        <w:ind w:left="654" w:right="2105" w:hanging="2"/>
        <w:rPr>
          <w:sz w:val="22"/>
          <w:szCs w:val="22"/>
        </w:rPr>
      </w:pPr>
      <w:r>
        <w:t>8, Stara prorizna Str., Uman, Cherkassy oblast, 20300, Ukraine</w:t>
      </w:r>
    </w:p>
    <w:sectPr w:rsidR="00887B3B" w:rsidRPr="00C72213" w:rsidSect="00DE571B">
      <w:headerReference w:type="default" r:id="rId8"/>
      <w:pgSz w:w="11900" w:h="16840"/>
      <w:pgMar w:top="1480" w:right="380" w:bottom="620" w:left="1060" w:header="968" w:footer="40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5CEB" w:rsidRDefault="00835CEB">
      <w:r>
        <w:separator/>
      </w:r>
    </w:p>
  </w:endnote>
  <w:endnote w:type="continuationSeparator" w:id="0">
    <w:p w:rsidR="00835CEB" w:rsidRDefault="00835C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B3B" w:rsidRDefault="003078B4">
    <w:pPr>
      <w:pStyle w:val="a3"/>
      <w:spacing w:line="14" w:lineRule="auto"/>
      <w:rPr>
        <w:sz w:val="20"/>
      </w:rPr>
    </w:pPr>
    <w:r w:rsidRPr="003078B4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8" type="#_x0000_t202" style="position:absolute;margin-left:306.25pt;margin-top:809.8pt;width:11.35pt;height:14.5pt;z-index:-325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" filled="f" stroked="f">
          <v:textbox inset="0,0,0,0">
            <w:txbxContent>
              <w:p w:rsidR="00887B3B" w:rsidRDefault="003078B4">
                <w:pPr>
                  <w:spacing w:before="13"/>
                  <w:ind w:left="73"/>
                  <w:rPr>
                    <w:rFonts w:ascii="Arial"/>
                    <w:sz w:val="20"/>
                  </w:rPr>
                </w:pPr>
                <w:r>
                  <w:fldChar w:fldCharType="begin"/>
                </w:r>
                <w:r w:rsidR="00D83BB7">
                  <w:rPr>
                    <w:rFonts w:ascii="Arial"/>
                    <w:color w:val="5E6264"/>
                    <w:w w:val="101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B30907">
                  <w:rPr>
                    <w:rFonts w:ascii="Arial"/>
                    <w:noProof/>
                    <w:color w:val="5E6264"/>
                    <w:w w:val="101"/>
                    <w:sz w:val="20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5CEB" w:rsidRDefault="00835CEB">
      <w:r>
        <w:separator/>
      </w:r>
    </w:p>
  </w:footnote>
  <w:footnote w:type="continuationSeparator" w:id="0">
    <w:p w:rsidR="00835CEB" w:rsidRDefault="00835C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B3B" w:rsidRDefault="003078B4" w:rsidP="00965675">
    <w:pPr>
      <w:pStyle w:val="a3"/>
      <w:spacing w:line="14" w:lineRule="auto"/>
      <w:jc w:val="right"/>
      <w:rPr>
        <w:sz w:val="20"/>
      </w:rPr>
    </w:pPr>
    <w:r w:rsidRPr="003078B4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4099" type="#_x0000_t202" style="position:absolute;left:0;text-align:left;margin-left:324.15pt;margin-top:48.4pt;width:243.5pt;height:28.25pt;z-index:-328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b6OrQIAAKk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" filled="f" stroked="f">
          <v:textbox inset="0,0,0,0">
            <w:txbxContent>
              <w:p w:rsidR="00887B3B" w:rsidRDefault="00D83BB7" w:rsidP="00965675">
                <w:pPr>
                  <w:pStyle w:val="a3"/>
                  <w:spacing w:before="10" w:line="244" w:lineRule="auto"/>
                  <w:ind w:left="20" w:right="13" w:firstLine="3826"/>
                  <w:jc w:val="right"/>
                </w:pPr>
                <w:r>
                  <w:t xml:space="preserve">Annex 2 to the </w:t>
                </w:r>
                <w:r w:rsidR="00BE7262">
                  <w:t>Marketing Authorization</w:t>
                </w:r>
                <w:r>
                  <w:t xml:space="preserve"> АВ-07071-017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B3B" w:rsidRDefault="003078B4">
    <w:pPr>
      <w:pStyle w:val="a3"/>
      <w:spacing w:line="14" w:lineRule="auto"/>
      <w:rPr>
        <w:sz w:val="20"/>
      </w:rPr>
    </w:pPr>
    <w:r w:rsidRPr="003078B4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327.55pt;margin-top:47.4pt;width:243.8pt;height:28.5pt;z-index:-323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" filled="f" stroked="f">
          <v:textbox inset="0,0,0,0">
            <w:txbxContent>
              <w:p w:rsidR="00C46F19" w:rsidRDefault="00D83BB7" w:rsidP="00C46F19">
                <w:pPr>
                  <w:pStyle w:val="a3"/>
                  <w:spacing w:before="10" w:line="249" w:lineRule="auto"/>
                  <w:ind w:left="20" w:right="3"/>
                  <w:jc w:val="right"/>
                  <w:rPr>
                    <w:color w:val="5E6264"/>
                    <w:w w:val="105"/>
                  </w:rPr>
                </w:pPr>
                <w:r>
                  <w:rPr>
                    <w:color w:val="5E6264"/>
                    <w:w w:val="105"/>
                  </w:rPr>
                  <w:t>Continuation of the Annex 2</w:t>
                </w:r>
              </w:p>
              <w:p w:rsidR="00887B3B" w:rsidRDefault="00D83BB7" w:rsidP="00C46F19">
                <w:pPr>
                  <w:pStyle w:val="a3"/>
                  <w:spacing w:before="10" w:line="249" w:lineRule="auto"/>
                  <w:ind w:left="20" w:right="3"/>
                  <w:jc w:val="right"/>
                </w:pPr>
                <w:proofErr w:type="gramStart"/>
                <w:r>
                  <w:rPr>
                    <w:color w:val="5E6264"/>
                    <w:w w:val="105"/>
                  </w:rPr>
                  <w:t>to</w:t>
                </w:r>
                <w:proofErr w:type="gramEnd"/>
                <w:r>
                  <w:rPr>
                    <w:color w:val="5E6264"/>
                    <w:w w:val="105"/>
                  </w:rPr>
                  <w:t xml:space="preserve"> the </w:t>
                </w:r>
                <w:r w:rsidR="00BE7262">
                  <w:rPr>
                    <w:color w:val="5E6264"/>
                    <w:w w:val="105"/>
                  </w:rPr>
                  <w:t>Marketing Authorization</w:t>
                </w:r>
                <w:r>
                  <w:rPr>
                    <w:color w:val="5E6264"/>
                    <w:w w:val="105"/>
                  </w:rPr>
                  <w:t xml:space="preserve"> АВ-07071-01-17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150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887B3B"/>
    <w:rsid w:val="000F612C"/>
    <w:rsid w:val="001B1816"/>
    <w:rsid w:val="00264928"/>
    <w:rsid w:val="00295A8A"/>
    <w:rsid w:val="003078B4"/>
    <w:rsid w:val="00333BF8"/>
    <w:rsid w:val="00466D61"/>
    <w:rsid w:val="00496417"/>
    <w:rsid w:val="00597371"/>
    <w:rsid w:val="005E7A66"/>
    <w:rsid w:val="00673665"/>
    <w:rsid w:val="006D2EBE"/>
    <w:rsid w:val="007375CB"/>
    <w:rsid w:val="007D3B86"/>
    <w:rsid w:val="00835CEB"/>
    <w:rsid w:val="00880F86"/>
    <w:rsid w:val="00887B3B"/>
    <w:rsid w:val="00897651"/>
    <w:rsid w:val="00965675"/>
    <w:rsid w:val="00A0427A"/>
    <w:rsid w:val="00A91B95"/>
    <w:rsid w:val="00AE4E34"/>
    <w:rsid w:val="00B30907"/>
    <w:rsid w:val="00B841E9"/>
    <w:rsid w:val="00BE7262"/>
    <w:rsid w:val="00C26DBA"/>
    <w:rsid w:val="00C46F19"/>
    <w:rsid w:val="00C72213"/>
    <w:rsid w:val="00D43701"/>
    <w:rsid w:val="00D83BB7"/>
    <w:rsid w:val="00DD19C7"/>
    <w:rsid w:val="00DE571B"/>
    <w:rsid w:val="00E1241B"/>
    <w:rsid w:val="00F2090E"/>
    <w:rsid w:val="00FA1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E571B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E571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E571B"/>
    <w:rPr>
      <w:sz w:val="23"/>
      <w:szCs w:val="23"/>
    </w:rPr>
  </w:style>
  <w:style w:type="paragraph" w:styleId="a4">
    <w:name w:val="List Paragraph"/>
    <w:basedOn w:val="a"/>
    <w:uiPriority w:val="1"/>
    <w:qFormat/>
    <w:rsid w:val="00DE571B"/>
  </w:style>
  <w:style w:type="paragraph" w:customStyle="1" w:styleId="TableParagraph">
    <w:name w:val="Table Paragraph"/>
    <w:basedOn w:val="a"/>
    <w:uiPriority w:val="1"/>
    <w:qFormat/>
    <w:rsid w:val="00DE571B"/>
  </w:style>
  <w:style w:type="character" w:styleId="a5">
    <w:name w:val="Strong"/>
    <w:basedOn w:val="a0"/>
    <w:uiPriority w:val="22"/>
    <w:qFormat/>
    <w:rsid w:val="00D43701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C46F1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46F19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semiHidden/>
    <w:unhideWhenUsed/>
    <w:rsid w:val="00C46F1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46F19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2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689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Анжела В. Михайлова</dc:creator>
  <cp:lastModifiedBy>Шульженко</cp:lastModifiedBy>
  <cp:revision>9</cp:revision>
  <dcterms:created xsi:type="dcterms:W3CDTF">2018-12-07T09:58:00Z</dcterms:created>
  <dcterms:modified xsi:type="dcterms:W3CDTF">2019-02-22T14:07:00Z</dcterms:modified>
</cp:coreProperties>
</file>